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9" w:rsidRDefault="00577CE9"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77CE9" w:rsidRDefault="00577CE9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2022</w:t>
      </w:r>
      <w:r>
        <w:rPr>
          <w:rFonts w:eastAsia="方正小标宋_GBK" w:hint="eastAsia"/>
          <w:bCs/>
          <w:kern w:val="0"/>
          <w:sz w:val="44"/>
          <w:szCs w:val="44"/>
        </w:rPr>
        <w:t>年</w:t>
      </w:r>
      <w:r>
        <w:rPr>
          <w:rFonts w:ascii="方正小标宋_GBK" w:eastAsia="方正小标宋_GBK" w:hint="eastAsia"/>
          <w:bCs/>
          <w:kern w:val="0"/>
          <w:sz w:val="44"/>
          <w:szCs w:val="44"/>
        </w:rPr>
        <w:t>新化县人民检察院</w:t>
      </w:r>
      <w:r>
        <w:rPr>
          <w:rFonts w:eastAsia="方正小标宋_GBK" w:hint="eastAsia"/>
          <w:bCs/>
          <w:kern w:val="0"/>
          <w:sz w:val="44"/>
          <w:szCs w:val="44"/>
        </w:rPr>
        <w:t>单位预算</w:t>
      </w:r>
    </w:p>
    <w:p w:rsidR="00577CE9" w:rsidRDefault="00577CE9">
      <w:pPr>
        <w:widowControl/>
        <w:spacing w:line="600" w:lineRule="exact"/>
        <w:jc w:val="center"/>
        <w:rPr>
          <w:rFonts w:ascii="楷体_GB2312" w:eastAsia="楷体_GB2312"/>
          <w:bCs/>
          <w:kern w:val="0"/>
          <w:sz w:val="32"/>
          <w:szCs w:val="32"/>
        </w:rPr>
      </w:pPr>
    </w:p>
    <w:p w:rsidR="00577CE9" w:rsidRDefault="00577CE9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 w:hint="eastAsia"/>
          <w:bCs/>
          <w:kern w:val="0"/>
          <w:sz w:val="32"/>
          <w:szCs w:val="32"/>
        </w:rPr>
        <w:t>录</w:t>
      </w:r>
    </w:p>
    <w:p w:rsidR="00577CE9" w:rsidRDefault="00577CE9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200" w:firstLine="31680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eastAsia="仿宋_GB2312" w:hint="eastAsia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ascii="方正小标宋_GBK" w:eastAsia="方正小标宋_GBK"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</w:t>
      </w:r>
      <w:r>
        <w:rPr>
          <w:rFonts w:eastAsia="仿宋_GB2312" w:hint="eastAsia"/>
          <w:b/>
          <w:bCs/>
          <w:kern w:val="0"/>
          <w:sz w:val="32"/>
          <w:szCs w:val="32"/>
        </w:rPr>
        <w:t>年单位预算说明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hint="eastAsia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2022</w:t>
      </w:r>
      <w:r>
        <w:rPr>
          <w:rFonts w:eastAsia="仿宋_GB2312" w:hint="eastAsia"/>
          <w:b/>
          <w:bCs/>
          <w:kern w:val="0"/>
          <w:sz w:val="32"/>
          <w:szCs w:val="32"/>
        </w:rPr>
        <w:t>年单位预算表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、收支总表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、收入总表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、支出总表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、支出预算分类汇总表（按政府预算经济分类）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、支出预算分类汇总表（按部门预算经济分类）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、财政拨款收支总表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、一般公共预算支出表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人员经费（工资福利支出）（按政府预算经济分类）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人员经费（工资福利支出）（按部门预算经济分类）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人员经费（对个人和家庭的补助）（按政府预算经济分类）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人员经费（对个人和家庭的补助）（按部门预算经济分类）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公用经费（商品和服务支出）（按政府预算经济分类）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公用经费（商品和服务支出）（按部门预算经济分类）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、一般公共预算“三公”经费支出表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、政府性基金预算支出表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、政府性基金预算支出分类汇总表（按政府预算经济分类）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、政府性基金预算支出分类汇总表（按部门预算经济分类）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、国有资本经营预算支出表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、财政专户管理资金预算支出表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、省级专项资金预算汇总表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、省级专项资金绩效目标表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、其他项目支出绩效目标表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、部门整体支出绩效目标表</w:t>
      </w:r>
    </w:p>
    <w:p w:rsidR="00577CE9" w:rsidRDefault="00577CE9" w:rsidP="00817318">
      <w:pPr>
        <w:widowControl/>
        <w:spacing w:line="600" w:lineRule="exact"/>
        <w:ind w:firstLineChars="200" w:firstLine="3168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注：以上单位预算报表中，空表表示本单位无相关收支情况。</w:t>
      </w:r>
    </w:p>
    <w:p w:rsidR="00577CE9" w:rsidRDefault="00577CE9" w:rsidP="00817318">
      <w:pPr>
        <w:widowControl/>
        <w:spacing w:line="600" w:lineRule="exact"/>
        <w:ind w:firstLineChars="200" w:firstLine="31680"/>
        <w:jc w:val="left"/>
        <w:rPr>
          <w:rFonts w:eastAsia="仿宋_GB2312"/>
          <w:color w:val="FF0000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200" w:firstLine="31680"/>
        <w:rPr>
          <w:rFonts w:eastAsia="仿宋_GB2312"/>
          <w:bCs/>
          <w:kern w:val="0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200" w:firstLine="31680"/>
        <w:rPr>
          <w:rFonts w:eastAsia="仿宋_GB2312"/>
          <w:bCs/>
          <w:kern w:val="0"/>
          <w:sz w:val="32"/>
          <w:szCs w:val="32"/>
        </w:rPr>
      </w:pPr>
    </w:p>
    <w:p w:rsidR="00577CE9" w:rsidRDefault="00577CE9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577CE9" w:rsidRDefault="00577CE9"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77CE9" w:rsidRDefault="00577CE9"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77CE9" w:rsidRDefault="00577CE9">
      <w:pPr>
        <w:widowControl/>
        <w:spacing w:line="600" w:lineRule="exact"/>
        <w:rPr>
          <w:rFonts w:ascii="宋体"/>
          <w:b/>
          <w:sz w:val="44"/>
          <w:szCs w:val="44"/>
        </w:rPr>
      </w:pPr>
    </w:p>
    <w:p w:rsidR="00577CE9" w:rsidRDefault="00577CE9">
      <w:pPr>
        <w:widowControl/>
        <w:spacing w:line="600" w:lineRule="exact"/>
        <w:jc w:val="center"/>
        <w:rPr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第一部分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b/>
          <w:bCs/>
          <w:kern w:val="0"/>
          <w:sz w:val="44"/>
          <w:szCs w:val="44"/>
        </w:rPr>
        <w:t>2022</w:t>
      </w:r>
      <w:r>
        <w:rPr>
          <w:rFonts w:hint="eastAsia"/>
          <w:b/>
          <w:bCs/>
          <w:kern w:val="0"/>
          <w:sz w:val="44"/>
          <w:szCs w:val="44"/>
        </w:rPr>
        <w:t>年单位预算说明</w:t>
      </w:r>
    </w:p>
    <w:p w:rsidR="00577CE9" w:rsidRDefault="00577CE9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196" w:firstLine="3168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一、单位基本概况</w:t>
      </w:r>
    </w:p>
    <w:p w:rsidR="00577CE9" w:rsidRDefault="00577CE9" w:rsidP="00817318">
      <w:pPr>
        <w:ind w:firstLineChars="196" w:firstLine="3168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（一）职能职责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深入贯彻习近平新时代中国特色社会主义思想，深入贯彻党的路线方针政策和决策部署，统一全省检察机关思想和行动，坚持党对检察工作的绝对领导，坚决维护习近平总书记的核心地位，坚决维护党中央权威和集中统一领导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贯彻落实上级人民检察院的各项工作部署，研究制定检察工作规划，部署检察工作任务。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依照法律规定对由县人民检察院直接受理的刑事案件行使侦查权。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 w:hint="eastAsia"/>
          <w:color w:val="000000"/>
          <w:sz w:val="32"/>
          <w:szCs w:val="32"/>
        </w:rPr>
        <w:t>对刑事案件依法审查批准逮捕、决定逮捕、提起公诉。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 w:hint="eastAsia"/>
          <w:color w:val="000000"/>
          <w:sz w:val="32"/>
          <w:szCs w:val="32"/>
        </w:rPr>
        <w:t>负责应由县人民检察院承办的刑事、民事、行政诉讼活动及刑事、民事、行政判决和裁定等生效法律文书执行的法律监督工作。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>
        <w:rPr>
          <w:rFonts w:eastAsia="仿宋_GB2312" w:hint="eastAsia"/>
          <w:color w:val="000000"/>
          <w:sz w:val="32"/>
          <w:szCs w:val="32"/>
        </w:rPr>
        <w:t>负责应由县人民检察院承办的提起公益诉讼工作。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7. </w:t>
      </w:r>
      <w:r>
        <w:rPr>
          <w:rFonts w:eastAsia="仿宋_GB2312" w:hint="eastAsia"/>
          <w:color w:val="000000"/>
          <w:sz w:val="32"/>
          <w:szCs w:val="32"/>
        </w:rPr>
        <w:t>负责应由县人民检察院承办的对看守所、社区矫正机构等执法活动的法律监督工作。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8. </w:t>
      </w:r>
      <w:r>
        <w:rPr>
          <w:rFonts w:eastAsia="仿宋_GB2312" w:hint="eastAsia"/>
          <w:color w:val="000000"/>
          <w:sz w:val="32"/>
          <w:szCs w:val="32"/>
        </w:rPr>
        <w:t>受理向县人民检察院的控告申诉。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 w:hint="eastAsia"/>
          <w:color w:val="000000"/>
          <w:sz w:val="32"/>
          <w:szCs w:val="32"/>
        </w:rPr>
        <w:t>负责检察机关的理论研究工作。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10. </w:t>
      </w:r>
      <w:r>
        <w:rPr>
          <w:rFonts w:eastAsia="仿宋_GB2312" w:hint="eastAsia"/>
          <w:color w:val="000000"/>
          <w:sz w:val="32"/>
          <w:szCs w:val="32"/>
        </w:rPr>
        <w:t>负责检察机关队伍建设和思想政治工作。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</w:t>
      </w:r>
      <w:r>
        <w:rPr>
          <w:rFonts w:eastAsia="仿宋_GB2312" w:hint="eastAsia"/>
          <w:color w:val="000000"/>
          <w:sz w:val="32"/>
          <w:szCs w:val="32"/>
        </w:rPr>
        <w:t>负责检务督察工作。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12.</w:t>
      </w:r>
      <w:r>
        <w:rPr>
          <w:rFonts w:eastAsia="仿宋_GB2312" w:hint="eastAsia"/>
          <w:color w:val="000000"/>
          <w:sz w:val="32"/>
          <w:szCs w:val="32"/>
        </w:rPr>
        <w:t>负责检察机关财务装备和检察技术信息工作。</w:t>
      </w:r>
    </w:p>
    <w:p w:rsidR="00577CE9" w:rsidRDefault="00577CE9" w:rsidP="00817318">
      <w:pPr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13. </w:t>
      </w:r>
      <w:r>
        <w:rPr>
          <w:rFonts w:eastAsia="仿宋_GB2312" w:hint="eastAsia"/>
          <w:color w:val="000000"/>
          <w:sz w:val="32"/>
          <w:szCs w:val="32"/>
        </w:rPr>
        <w:t>负责其他应当由县人民检察院承办的事项。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577CE9" w:rsidRDefault="00577CE9" w:rsidP="00817318">
      <w:pPr>
        <w:widowControl/>
        <w:spacing w:line="600" w:lineRule="exact"/>
        <w:ind w:firstLineChars="196" w:firstLine="3168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（二）机构设置</w:t>
      </w:r>
    </w:p>
    <w:p w:rsidR="00577CE9" w:rsidRDefault="00577CE9" w:rsidP="00817318">
      <w:pPr>
        <w:pStyle w:val="1"/>
        <w:widowControl/>
        <w:snapToGrid w:val="0"/>
        <w:spacing w:line="60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新化县人民检察院现有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个内设机构，分别为：</w:t>
      </w:r>
      <w:r>
        <w:rPr>
          <w:rFonts w:ascii="仿宋_GB2312" w:eastAsia="仿宋_GB2312" w:hAnsi="仿宋_GB2312" w:cs="仿宋_GB2312" w:hint="eastAsia"/>
          <w:sz w:val="32"/>
        </w:rPr>
        <w:t>办公室、第一检察部、第二检察部、第三检察部、第四检察部、第五检察部、第六检察部、政治部。</w:t>
      </w:r>
    </w:p>
    <w:p w:rsidR="00577CE9" w:rsidRDefault="00577CE9" w:rsidP="00817318">
      <w:pPr>
        <w:widowControl/>
        <w:spacing w:line="600" w:lineRule="exact"/>
        <w:ind w:firstLineChars="196" w:firstLine="31680"/>
        <w:rPr>
          <w:rFonts w:ascii="仿宋_GB2312" w:eastAsia="仿宋_GB2312" w:hAnsi="宋体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二、单位收支总体情况</w:t>
      </w:r>
    </w:p>
    <w:p w:rsidR="00577CE9" w:rsidRDefault="00577CE9">
      <w:pPr>
        <w:ind w:firstLine="645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（一）收入预算：</w:t>
      </w:r>
      <w:r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color w:val="000000"/>
          <w:sz w:val="32"/>
          <w:szCs w:val="32"/>
        </w:rPr>
        <w:t>一般公共预算拨款、中央财政补助和上年结余结转资金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年本单位收入预算</w:t>
      </w:r>
      <w:r>
        <w:rPr>
          <w:rFonts w:ascii="仿宋_GB2312" w:eastAsia="仿宋_GB2312"/>
          <w:sz w:val="32"/>
          <w:szCs w:val="32"/>
        </w:rPr>
        <w:t>1918.15</w:t>
      </w:r>
      <w:r>
        <w:rPr>
          <w:rFonts w:ascii="仿宋_GB2312" w:eastAsia="仿宋_GB2312" w:hint="eastAsia"/>
          <w:sz w:val="32"/>
          <w:szCs w:val="32"/>
        </w:rPr>
        <w:t>万元，其中，一般公共预算拨款</w:t>
      </w:r>
      <w:r>
        <w:rPr>
          <w:rFonts w:ascii="仿宋_GB2312" w:eastAsia="仿宋_GB2312"/>
          <w:sz w:val="32"/>
          <w:szCs w:val="32"/>
        </w:rPr>
        <w:t>1430.96</w:t>
      </w:r>
      <w:r>
        <w:rPr>
          <w:rFonts w:ascii="仿宋_GB2312" w:eastAsia="仿宋_GB2312" w:hint="eastAsia"/>
          <w:sz w:val="32"/>
          <w:szCs w:val="32"/>
        </w:rPr>
        <w:t>万元，中央财政补助</w:t>
      </w:r>
      <w:r>
        <w:rPr>
          <w:rFonts w:ascii="仿宋_GB2312" w:eastAsia="仿宋_GB2312"/>
          <w:sz w:val="32"/>
          <w:szCs w:val="32"/>
        </w:rPr>
        <w:t>470.04</w:t>
      </w:r>
      <w:r>
        <w:rPr>
          <w:rFonts w:ascii="仿宋_GB2312" w:eastAsia="仿宋_GB2312" w:hint="eastAsia"/>
          <w:sz w:val="32"/>
          <w:szCs w:val="32"/>
        </w:rPr>
        <w:t>万元，上年结余结转</w:t>
      </w:r>
      <w:r>
        <w:rPr>
          <w:rFonts w:ascii="仿宋_GB2312" w:eastAsia="仿宋_GB2312"/>
          <w:sz w:val="32"/>
          <w:szCs w:val="32"/>
        </w:rPr>
        <w:t>17.15</w:t>
      </w:r>
      <w:r>
        <w:rPr>
          <w:rFonts w:ascii="仿宋_GB2312" w:eastAsia="仿宋_GB2312" w:hint="eastAsia"/>
          <w:sz w:val="32"/>
          <w:szCs w:val="32"/>
        </w:rPr>
        <w:t>万元，无政府性基金、国有资本经营预算拨款和纳入专户管理的非税收入。收入较去年增加</w:t>
      </w:r>
      <w:r>
        <w:rPr>
          <w:rFonts w:ascii="仿宋_GB2312" w:eastAsia="仿宋_GB2312"/>
          <w:sz w:val="32"/>
          <w:szCs w:val="32"/>
        </w:rPr>
        <w:t>52.22</w:t>
      </w:r>
      <w:r>
        <w:rPr>
          <w:rFonts w:ascii="仿宋_GB2312" w:eastAsia="仿宋_GB2312" w:hint="eastAsia"/>
          <w:sz w:val="32"/>
          <w:szCs w:val="32"/>
        </w:rPr>
        <w:t>万元，主要是因为年初预算较上年增加</w:t>
      </w:r>
      <w:r>
        <w:rPr>
          <w:rFonts w:ascii="仿宋_GB2312" w:eastAsia="仿宋_GB2312"/>
          <w:sz w:val="32"/>
          <w:szCs w:val="32"/>
        </w:rPr>
        <w:t>109.17</w:t>
      </w:r>
      <w:r>
        <w:rPr>
          <w:rFonts w:ascii="仿宋_GB2312" w:eastAsia="仿宋_GB2312" w:hint="eastAsia"/>
          <w:sz w:val="32"/>
          <w:szCs w:val="32"/>
        </w:rPr>
        <w:t>万元，上年结转结余减少</w:t>
      </w:r>
      <w:r>
        <w:rPr>
          <w:rFonts w:ascii="仿宋_GB2312" w:eastAsia="仿宋_GB2312"/>
          <w:sz w:val="32"/>
          <w:szCs w:val="32"/>
        </w:rPr>
        <w:t>56.95</w:t>
      </w:r>
      <w:r>
        <w:rPr>
          <w:rFonts w:ascii="仿宋_GB2312" w:eastAsia="仿宋_GB2312" w:hint="eastAsia"/>
          <w:sz w:val="32"/>
          <w:szCs w:val="32"/>
        </w:rPr>
        <w:t>万元，。</w:t>
      </w:r>
    </w:p>
    <w:p w:rsidR="00577CE9" w:rsidRDefault="00577CE9">
      <w:pPr>
        <w:rPr>
          <w:rFonts w:ascii="宋体" w:eastAsia="仿宋_GB2312" w:hAnsi="宋体" w:cs="宋体"/>
          <w:b/>
          <w:bCs/>
          <w:sz w:val="20"/>
          <w:szCs w:val="20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（二）支出预算：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年本单位支出预算</w:t>
      </w:r>
      <w:r>
        <w:rPr>
          <w:rFonts w:ascii="仿宋_GB2312" w:eastAsia="仿宋_GB2312"/>
          <w:sz w:val="32"/>
          <w:szCs w:val="32"/>
        </w:rPr>
        <w:t>1918.15</w:t>
      </w:r>
      <w:r>
        <w:rPr>
          <w:rFonts w:ascii="仿宋_GB2312" w:eastAsia="仿宋_GB2312" w:hint="eastAsia"/>
          <w:sz w:val="32"/>
          <w:szCs w:val="32"/>
        </w:rPr>
        <w:t>万元，其中，公共安全</w:t>
      </w:r>
      <w:r>
        <w:rPr>
          <w:rFonts w:ascii="仿宋_GB2312" w:eastAsia="仿宋_GB2312"/>
          <w:sz w:val="32"/>
          <w:szCs w:val="32"/>
        </w:rPr>
        <w:t>1623.26</w:t>
      </w:r>
      <w:r>
        <w:rPr>
          <w:rFonts w:ascii="仿宋_GB2312" w:eastAsia="仿宋_GB2312" w:hint="eastAsia"/>
          <w:sz w:val="32"/>
          <w:szCs w:val="32"/>
        </w:rPr>
        <w:t>万元；教育支出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万元；社会保障和就业支出</w:t>
      </w:r>
      <w:r>
        <w:rPr>
          <w:rFonts w:ascii="仿宋_GB2312" w:eastAsia="仿宋_GB2312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万元；卫生</w:t>
      </w:r>
      <w:r>
        <w:rPr>
          <w:rFonts w:ascii="仿宋_GB2312" w:eastAsia="仿宋_GB2312" w:hAnsi="宋体" w:hint="eastAsia"/>
          <w:sz w:val="32"/>
          <w:szCs w:val="32"/>
        </w:rPr>
        <w:t>健康支出</w:t>
      </w:r>
      <w:r>
        <w:rPr>
          <w:rFonts w:ascii="仿宋_GB2312" w:eastAsia="仿宋_GB2312" w:hAnsi="宋体"/>
          <w:sz w:val="32"/>
          <w:szCs w:val="32"/>
        </w:rPr>
        <w:t>55</w:t>
      </w:r>
      <w:r>
        <w:rPr>
          <w:rFonts w:ascii="仿宋_GB2312" w:eastAsia="仿宋_GB2312" w:hAnsi="宋体" w:hint="eastAsia"/>
          <w:sz w:val="32"/>
          <w:szCs w:val="32"/>
        </w:rPr>
        <w:t>万元；住房保障支出</w:t>
      </w:r>
      <w:r>
        <w:rPr>
          <w:rFonts w:ascii="仿宋_GB2312" w:eastAsia="仿宋_GB2312" w:hAnsi="宋体"/>
          <w:sz w:val="32"/>
          <w:szCs w:val="32"/>
        </w:rPr>
        <w:t>134.89</w:t>
      </w:r>
      <w:r>
        <w:rPr>
          <w:rFonts w:ascii="仿宋_GB2312" w:eastAsia="仿宋_GB2312" w:hAnsi="宋体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支出较去年增加</w:t>
      </w:r>
      <w:r>
        <w:rPr>
          <w:rFonts w:ascii="仿宋_GB2312" w:eastAsia="仿宋_GB2312"/>
          <w:sz w:val="32"/>
          <w:szCs w:val="32"/>
        </w:rPr>
        <w:t>52.22</w:t>
      </w:r>
      <w:r>
        <w:rPr>
          <w:rFonts w:ascii="仿宋_GB2312" w:eastAsia="仿宋_GB2312" w:hint="eastAsia"/>
          <w:sz w:val="32"/>
          <w:szCs w:val="32"/>
        </w:rPr>
        <w:t>万元，主要是公共安全支出减少</w:t>
      </w:r>
      <w:r>
        <w:rPr>
          <w:rFonts w:ascii="仿宋_GB2312" w:eastAsia="仿宋_GB2312"/>
          <w:sz w:val="32"/>
          <w:szCs w:val="32"/>
        </w:rPr>
        <w:t>5.67</w:t>
      </w:r>
      <w:r>
        <w:rPr>
          <w:rFonts w:ascii="仿宋_GB2312" w:eastAsia="仿宋_GB2312" w:hint="eastAsia"/>
          <w:sz w:val="32"/>
          <w:szCs w:val="32"/>
        </w:rPr>
        <w:t>万元；教育支出增加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万元；社会保障和就业支出减少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万元；卫生健康支出增加</w:t>
      </w:r>
      <w:r>
        <w:rPr>
          <w:rFonts w:ascii="仿宋_GB2312" w:eastAsia="仿宋_GB2312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万元；住房保障支出增加</w:t>
      </w:r>
      <w:r>
        <w:rPr>
          <w:rFonts w:ascii="仿宋_GB2312" w:eastAsia="仿宋_GB2312"/>
          <w:sz w:val="32"/>
          <w:szCs w:val="32"/>
        </w:rPr>
        <w:t>26.89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577CE9" w:rsidRDefault="00577CE9">
      <w:pPr>
        <w:pStyle w:val="ListParagraph1"/>
        <w:widowControl/>
        <w:numPr>
          <w:ilvl w:val="0"/>
          <w:numId w:val="1"/>
        </w:numPr>
        <w:spacing w:line="600" w:lineRule="exact"/>
        <w:ind w:firstLineChars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一般公共预算拨款支出</w:t>
      </w:r>
    </w:p>
    <w:p w:rsidR="00577CE9" w:rsidRDefault="00577CE9" w:rsidP="00817318">
      <w:pPr>
        <w:widowControl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年一般公共预算拨款支出预算</w:t>
      </w:r>
      <w:r>
        <w:rPr>
          <w:rFonts w:ascii="仿宋_GB2312" w:eastAsia="仿宋_GB2312"/>
          <w:sz w:val="32"/>
          <w:szCs w:val="32"/>
        </w:rPr>
        <w:t>1918.15</w:t>
      </w:r>
      <w:r>
        <w:rPr>
          <w:rFonts w:ascii="仿宋_GB2312" w:eastAsia="仿宋_GB2312" w:hint="eastAsia"/>
          <w:sz w:val="32"/>
          <w:szCs w:val="32"/>
        </w:rPr>
        <w:t>万元，其中，公共安全</w:t>
      </w:r>
      <w:r>
        <w:rPr>
          <w:rFonts w:ascii="仿宋_GB2312" w:eastAsia="仿宋_GB2312"/>
          <w:sz w:val="32"/>
          <w:szCs w:val="32"/>
        </w:rPr>
        <w:t>1623.26</w:t>
      </w:r>
      <w:r>
        <w:rPr>
          <w:rFonts w:ascii="仿宋_GB2312" w:eastAsia="仿宋_GB2312" w:hint="eastAsia"/>
          <w:sz w:val="32"/>
          <w:szCs w:val="32"/>
        </w:rPr>
        <w:t>万元，占比</w:t>
      </w:r>
      <w:r>
        <w:rPr>
          <w:rFonts w:ascii="仿宋_GB2312" w:eastAsia="仿宋_GB2312"/>
          <w:sz w:val="32"/>
          <w:szCs w:val="32"/>
        </w:rPr>
        <w:t>84.63%</w:t>
      </w:r>
      <w:r>
        <w:rPr>
          <w:rFonts w:ascii="仿宋_GB2312" w:eastAsia="仿宋_GB2312" w:hint="eastAsia"/>
          <w:sz w:val="32"/>
          <w:szCs w:val="32"/>
        </w:rPr>
        <w:t>；教育支出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万元，占比</w:t>
      </w:r>
      <w:r>
        <w:rPr>
          <w:rFonts w:ascii="仿宋_GB2312" w:eastAsia="仿宋_GB2312"/>
          <w:sz w:val="32"/>
          <w:szCs w:val="32"/>
        </w:rPr>
        <w:t>0.78%</w:t>
      </w:r>
      <w:r>
        <w:rPr>
          <w:rFonts w:ascii="仿宋_GB2312" w:eastAsia="仿宋_GB2312" w:hint="eastAsia"/>
          <w:sz w:val="32"/>
          <w:szCs w:val="32"/>
        </w:rPr>
        <w:t>；社会保障和就业支出</w:t>
      </w:r>
      <w:r>
        <w:rPr>
          <w:rFonts w:ascii="仿宋_GB2312" w:eastAsia="仿宋_GB2312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万元，占比</w:t>
      </w:r>
      <w:r>
        <w:rPr>
          <w:rFonts w:ascii="仿宋_GB2312" w:eastAsia="仿宋_GB2312"/>
          <w:sz w:val="32"/>
          <w:szCs w:val="32"/>
        </w:rPr>
        <w:t>4.69%</w:t>
      </w:r>
      <w:r>
        <w:rPr>
          <w:rFonts w:ascii="仿宋_GB2312" w:eastAsia="仿宋_GB2312" w:hint="eastAsia"/>
          <w:sz w:val="32"/>
          <w:szCs w:val="32"/>
        </w:rPr>
        <w:t>；卫生</w:t>
      </w:r>
      <w:r>
        <w:rPr>
          <w:rFonts w:ascii="仿宋_GB2312" w:eastAsia="仿宋_GB2312" w:hAnsi="宋体" w:hint="eastAsia"/>
          <w:sz w:val="32"/>
          <w:szCs w:val="32"/>
        </w:rPr>
        <w:t>健康支出</w:t>
      </w:r>
      <w:r>
        <w:rPr>
          <w:rFonts w:ascii="仿宋_GB2312" w:eastAsia="仿宋_GB2312" w:hAnsi="宋体"/>
          <w:sz w:val="32"/>
          <w:szCs w:val="32"/>
        </w:rPr>
        <w:t>55</w:t>
      </w:r>
      <w:r>
        <w:rPr>
          <w:rFonts w:ascii="仿宋_GB2312" w:eastAsia="仿宋_GB2312" w:hAnsi="宋体" w:hint="eastAsia"/>
          <w:sz w:val="32"/>
          <w:szCs w:val="32"/>
        </w:rPr>
        <w:t>万元，占比</w:t>
      </w:r>
      <w:r>
        <w:rPr>
          <w:rFonts w:ascii="仿宋_GB2312" w:eastAsia="仿宋_GB2312" w:hAnsi="宋体"/>
          <w:sz w:val="32"/>
          <w:szCs w:val="32"/>
        </w:rPr>
        <w:t>2.87%</w:t>
      </w:r>
      <w:r>
        <w:rPr>
          <w:rFonts w:ascii="仿宋_GB2312" w:eastAsia="仿宋_GB2312" w:hAnsi="宋体" w:hint="eastAsia"/>
          <w:sz w:val="32"/>
          <w:szCs w:val="32"/>
        </w:rPr>
        <w:t>；住房保障支出</w:t>
      </w:r>
      <w:r>
        <w:rPr>
          <w:rFonts w:ascii="仿宋_GB2312" w:eastAsia="仿宋_GB2312" w:hAnsi="宋体"/>
          <w:sz w:val="32"/>
          <w:szCs w:val="32"/>
        </w:rPr>
        <w:t>134.89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，占比</w:t>
      </w:r>
      <w:r>
        <w:rPr>
          <w:rFonts w:ascii="仿宋_GB2312" w:eastAsia="仿宋_GB2312"/>
          <w:sz w:val="32"/>
          <w:szCs w:val="32"/>
        </w:rPr>
        <w:t>7.03%</w:t>
      </w:r>
      <w:r>
        <w:rPr>
          <w:rFonts w:ascii="仿宋_GB2312" w:eastAsia="仿宋_GB2312" w:hint="eastAsia"/>
          <w:sz w:val="32"/>
          <w:szCs w:val="32"/>
        </w:rPr>
        <w:t>。具体安排情况如下：</w:t>
      </w: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（一）基本支出：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年本单位基本支出预算数</w:t>
      </w:r>
      <w:r>
        <w:rPr>
          <w:rFonts w:ascii="仿宋_GB2312" w:eastAsia="仿宋_GB2312"/>
          <w:sz w:val="32"/>
          <w:szCs w:val="32"/>
        </w:rPr>
        <w:t>1853.93</w:t>
      </w:r>
      <w:r>
        <w:rPr>
          <w:rFonts w:ascii="仿宋_GB2312" w:eastAsia="仿宋_GB2312" w:hint="eastAsia"/>
          <w:sz w:val="32"/>
          <w:szCs w:val="32"/>
        </w:rPr>
        <w:t>万元，主要是为保障单位正常运转、完成日常工作任务而发生的各项支出，包括用于基本工资、津贴补贴等人员经费以及办公费、印刷费、水电费等公用经费。</w:t>
      </w:r>
    </w:p>
    <w:p w:rsidR="00577CE9" w:rsidRDefault="00577CE9">
      <w:pPr>
        <w:ind w:firstLine="64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（二）项目支出：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年本单位项目支出预算</w:t>
      </w:r>
      <w:r>
        <w:rPr>
          <w:rFonts w:ascii="仿宋_GB2312" w:eastAsia="仿宋_GB2312"/>
          <w:sz w:val="32"/>
          <w:szCs w:val="32"/>
        </w:rPr>
        <w:t>64.22</w:t>
      </w:r>
      <w:r>
        <w:rPr>
          <w:rFonts w:ascii="仿宋_GB2312" w:eastAsia="仿宋_GB2312" w:hint="eastAsia"/>
          <w:sz w:val="32"/>
          <w:szCs w:val="32"/>
        </w:rPr>
        <w:t>万元，主要是</w:t>
      </w:r>
      <w:r>
        <w:rPr>
          <w:rFonts w:ascii="仿宋_GB2312" w:eastAsia="仿宋_GB2312" w:hAnsi="宋体" w:hint="eastAsia"/>
          <w:sz w:val="32"/>
          <w:szCs w:val="32"/>
        </w:rPr>
        <w:t>单位为完成特定行政工作任务或事业发展目标而发生的支出，包括有关事业发展专项、专项业务费等，其中：业务工作专项支出</w:t>
      </w:r>
      <w:r>
        <w:rPr>
          <w:rFonts w:ascii="仿宋_GB2312" w:eastAsia="仿宋_GB2312"/>
          <w:bCs/>
          <w:sz w:val="32"/>
          <w:szCs w:val="32"/>
        </w:rPr>
        <w:t>17.15</w:t>
      </w:r>
      <w:r>
        <w:rPr>
          <w:rFonts w:ascii="仿宋_GB2312" w:eastAsia="仿宋_GB2312" w:hAnsi="宋体" w:hint="eastAsia"/>
          <w:sz w:val="32"/>
          <w:szCs w:val="32"/>
        </w:rPr>
        <w:t>万元，主要用于扫黑除恶工作的开展；运行维护专项支出</w:t>
      </w:r>
      <w:r>
        <w:rPr>
          <w:rFonts w:ascii="仿宋_GB2312" w:eastAsia="仿宋_GB2312" w:hAnsi="宋体"/>
          <w:sz w:val="32"/>
          <w:szCs w:val="32"/>
        </w:rPr>
        <w:t>47.07</w:t>
      </w:r>
      <w:r>
        <w:rPr>
          <w:rFonts w:ascii="仿宋_GB2312" w:eastAsia="仿宋_GB2312" w:hAnsi="宋体" w:hint="eastAsia"/>
          <w:sz w:val="32"/>
          <w:szCs w:val="32"/>
        </w:rPr>
        <w:t>万元，主要用于办公设备购置和服装费、检察干警基金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7CE9" w:rsidRDefault="00577CE9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四、政府性基金预算支出</w:t>
      </w:r>
    </w:p>
    <w:p w:rsidR="00577CE9" w:rsidRDefault="00577CE9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年本单位无政府性基金安排的支出。</w:t>
      </w:r>
    </w:p>
    <w:p w:rsidR="00577CE9" w:rsidRDefault="00577CE9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五、其他重要事项的情况说明</w:t>
      </w:r>
    </w:p>
    <w:p w:rsidR="00577CE9" w:rsidRDefault="00577CE9" w:rsidP="00817318">
      <w:pPr>
        <w:widowControl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（一）机关运行经费：</w:t>
      </w:r>
      <w:r>
        <w:rPr>
          <w:rFonts w:ascii="仿宋_GB2312" w:eastAsia="仿宋_GB2312" w:hint="eastAsia"/>
          <w:bCs/>
          <w:sz w:val="32"/>
          <w:szCs w:val="32"/>
        </w:rPr>
        <w:t>如考虑中央财政补助，按全口径统计，</w:t>
      </w:r>
      <w:r>
        <w:rPr>
          <w:rFonts w:ascii="仿宋_GB2312" w:eastAsia="仿宋_GB2312" w:hAnsi="宋体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年本单位运行经费</w:t>
      </w:r>
      <w:r>
        <w:rPr>
          <w:rFonts w:ascii="仿宋_GB2312" w:eastAsia="仿宋_GB2312" w:hAnsi="宋体"/>
          <w:sz w:val="32"/>
          <w:szCs w:val="32"/>
        </w:rPr>
        <w:t>718.79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 xml:space="preserve"> 2021</w:t>
      </w:r>
      <w:r>
        <w:rPr>
          <w:rFonts w:ascii="仿宋_GB2312" w:eastAsia="仿宋_GB2312" w:hint="eastAsia"/>
          <w:sz w:val="32"/>
          <w:szCs w:val="32"/>
        </w:rPr>
        <w:t>年本单位运行经费预算为</w:t>
      </w:r>
      <w:r>
        <w:rPr>
          <w:rFonts w:ascii="仿宋_GB2312" w:eastAsia="仿宋_GB2312"/>
          <w:sz w:val="32"/>
          <w:szCs w:val="32"/>
        </w:rPr>
        <w:t>602.13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 xml:space="preserve"> 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比</w:t>
      </w:r>
      <w:r>
        <w:rPr>
          <w:rFonts w:ascii="仿宋_GB2312" w:eastAsia="仿宋_GB2312" w:hAnsi="宋体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年预算增加</w:t>
      </w:r>
      <w:r>
        <w:rPr>
          <w:rFonts w:ascii="仿宋_GB2312" w:eastAsia="仿宋_GB2312" w:hAnsi="宋体"/>
          <w:sz w:val="32"/>
          <w:szCs w:val="32"/>
        </w:rPr>
        <w:t>116.66</w:t>
      </w:r>
      <w:r>
        <w:rPr>
          <w:rFonts w:ascii="仿宋_GB2312" w:eastAsia="仿宋_GB2312" w:hint="eastAsia"/>
          <w:sz w:val="32"/>
          <w:szCs w:val="32"/>
        </w:rPr>
        <w:t>万元，上升</w:t>
      </w:r>
      <w:r>
        <w:rPr>
          <w:rFonts w:ascii="仿宋_GB2312" w:eastAsia="仿宋_GB2312"/>
          <w:sz w:val="32"/>
          <w:szCs w:val="32"/>
        </w:rPr>
        <w:t>19.37%</w:t>
      </w:r>
      <w:r>
        <w:rPr>
          <w:rFonts w:ascii="仿宋_GB2312" w:eastAsia="仿宋_GB2312" w:hint="eastAsia"/>
          <w:sz w:val="32"/>
          <w:szCs w:val="32"/>
        </w:rPr>
        <w:t>，主要是办案经费增加以及地方中心工作经费增加。</w:t>
      </w:r>
    </w:p>
    <w:p w:rsidR="00577CE9" w:rsidRDefault="00577CE9" w:rsidP="00817318">
      <w:pPr>
        <w:widowControl/>
        <w:spacing w:line="600" w:lineRule="exact"/>
        <w:ind w:firstLineChars="200" w:firstLine="3168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（二）“三公”经费预算：</w:t>
      </w:r>
      <w:r>
        <w:rPr>
          <w:rFonts w:ascii="仿宋_GB2312" w:eastAsia="仿宋_GB2312" w:hint="eastAsia"/>
          <w:bCs/>
          <w:sz w:val="32"/>
          <w:szCs w:val="32"/>
        </w:rPr>
        <w:t>如考虑中央财政补助，按全口径统计，</w:t>
      </w:r>
      <w:r>
        <w:rPr>
          <w:rFonts w:ascii="仿宋_GB2312" w:eastAsia="仿宋_GB2312" w:hAnsi="宋体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年本单位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“三公”经费预算数为</w:t>
      </w:r>
      <w:r>
        <w:rPr>
          <w:rFonts w:ascii="仿宋_GB2312" w:eastAsia="仿宋_GB2312"/>
          <w:sz w:val="32"/>
          <w:szCs w:val="32"/>
        </w:rPr>
        <w:t>73.8</w:t>
      </w:r>
      <w:r>
        <w:rPr>
          <w:rFonts w:ascii="仿宋_GB2312" w:eastAsia="仿宋_GB2312" w:hint="eastAsia"/>
          <w:sz w:val="32"/>
          <w:szCs w:val="32"/>
        </w:rPr>
        <w:t>万元，其中，公务接待费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万元，公务用车运行费</w:t>
      </w:r>
      <w:r>
        <w:rPr>
          <w:rFonts w:ascii="仿宋_GB2312" w:eastAsia="仿宋_GB2312"/>
          <w:sz w:val="32"/>
          <w:szCs w:val="32"/>
        </w:rPr>
        <w:t>57.8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年本单位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“三公”经费预算为</w:t>
      </w:r>
      <w:r>
        <w:rPr>
          <w:rFonts w:ascii="仿宋_GB2312" w:eastAsia="仿宋_GB2312"/>
          <w:sz w:val="32"/>
          <w:szCs w:val="32"/>
        </w:rPr>
        <w:t>73.8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年“三公”经费预算较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年无变动。</w:t>
      </w:r>
    </w:p>
    <w:p w:rsidR="00577CE9" w:rsidRDefault="00577CE9">
      <w:pPr>
        <w:widowControl/>
        <w:spacing w:line="60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 w:hint="eastAsia"/>
          <w:kern w:val="0"/>
          <w:sz w:val="32"/>
          <w:szCs w:val="32"/>
        </w:rPr>
        <w:t>年本部门会议费预算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万元，拟召开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个会议，人数</w:t>
      </w:r>
      <w:r>
        <w:rPr>
          <w:rFonts w:eastAsia="仿宋_GB2312"/>
          <w:kern w:val="0"/>
          <w:sz w:val="32"/>
          <w:szCs w:val="32"/>
        </w:rPr>
        <w:t>600</w:t>
      </w:r>
      <w:r>
        <w:rPr>
          <w:rFonts w:eastAsia="仿宋_GB2312" w:hint="eastAsia"/>
          <w:kern w:val="0"/>
          <w:sz w:val="32"/>
          <w:szCs w:val="32"/>
        </w:rPr>
        <w:t>人左右，内容为乡镇检察联络员工作会议，听取市级、县级人大代表意见及建议会议；培训费预算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 w:hint="eastAsia"/>
          <w:kern w:val="0"/>
          <w:sz w:val="32"/>
          <w:szCs w:val="32"/>
        </w:rPr>
        <w:t>万元，拟开展专业性培训，人数</w:t>
      </w:r>
      <w:r>
        <w:rPr>
          <w:rFonts w:eastAsia="仿宋_GB2312"/>
          <w:kern w:val="0"/>
          <w:sz w:val="32"/>
          <w:szCs w:val="32"/>
        </w:rPr>
        <w:t>35</w:t>
      </w:r>
      <w:r>
        <w:rPr>
          <w:rFonts w:eastAsia="仿宋_GB2312" w:hint="eastAsia"/>
          <w:kern w:val="0"/>
          <w:sz w:val="32"/>
          <w:szCs w:val="32"/>
        </w:rPr>
        <w:t>人，内容为组织干警到大学进行专业类培训。</w:t>
      </w:r>
    </w:p>
    <w:p w:rsidR="00577CE9" w:rsidRDefault="00577CE9" w:rsidP="00817318">
      <w:pPr>
        <w:widowControl/>
        <w:spacing w:line="600" w:lineRule="atLeast"/>
        <w:ind w:firstLineChars="206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国有资产占用使用及新增资产配置情况：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截至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日，本单位共有车辆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台，其中一般公务用车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辆，一般执法执勤用车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辆。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年无车辆购置计划。</w:t>
      </w:r>
    </w:p>
    <w:p w:rsidR="00577CE9" w:rsidRDefault="00577CE9" w:rsidP="00817318">
      <w:pPr>
        <w:widowControl/>
        <w:spacing w:line="600" w:lineRule="atLeast"/>
        <w:ind w:firstLineChars="206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</w:t>
      </w:r>
      <w:r>
        <w:rPr>
          <w:rFonts w:ascii="仿宋_GB2312" w:eastAsia="仿宋_GB2312" w:hint="eastAsia"/>
          <w:b/>
          <w:bCs/>
          <w:sz w:val="32"/>
          <w:szCs w:val="32"/>
        </w:rPr>
        <w:t>其他问题说明：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年新化县人民检察院无政府性基金预算支出、国有资本经营预算支出、财政专户管理资金预算支出和省级专项资金预算，所以表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无数据。</w:t>
      </w:r>
    </w:p>
    <w:p w:rsidR="00577CE9" w:rsidRDefault="00577CE9">
      <w:pPr>
        <w:widowControl/>
        <w:numPr>
          <w:ilvl w:val="0"/>
          <w:numId w:val="2"/>
        </w:numPr>
        <w:spacing w:line="600" w:lineRule="atLeast"/>
        <w:ind w:left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名词解释</w:t>
      </w:r>
    </w:p>
    <w:p w:rsidR="00577CE9" w:rsidRDefault="00577CE9" w:rsidP="00817318">
      <w:pPr>
        <w:widowControl/>
        <w:spacing w:line="600" w:lineRule="atLeas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</w:p>
    <w:p w:rsidR="00577CE9" w:rsidRDefault="00577CE9" w:rsidP="00817318">
      <w:pPr>
        <w:widowControl/>
        <w:spacing w:line="600" w:lineRule="exact"/>
        <w:ind w:firstLineChars="200" w:firstLine="31680"/>
        <w:jc w:val="center"/>
        <w:rPr>
          <w:rFonts w:eastAsia="仿宋_GB2312"/>
          <w:sz w:val="32"/>
          <w:szCs w:val="32"/>
        </w:rPr>
      </w:pPr>
      <w:r>
        <w:rPr>
          <w:rFonts w:eastAsia="方正小标宋_GBK" w:hint="eastAsia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2022</w:t>
      </w:r>
      <w:r>
        <w:rPr>
          <w:rFonts w:eastAsia="方正小标宋_GBK" w:hint="eastAsia"/>
          <w:bCs/>
          <w:kern w:val="0"/>
          <w:sz w:val="36"/>
          <w:szCs w:val="36"/>
        </w:rPr>
        <w:t>年部门预算表</w:t>
      </w:r>
    </w:p>
    <w:p w:rsidR="00577CE9" w:rsidRDefault="00577CE9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77CE9" w:rsidSect="00B8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E9" w:rsidRDefault="00577CE9" w:rsidP="00B860F6">
      <w:r>
        <w:separator/>
      </w:r>
    </w:p>
  </w:endnote>
  <w:endnote w:type="continuationSeparator" w:id="1">
    <w:p w:rsidR="00577CE9" w:rsidRDefault="00577CE9" w:rsidP="00B8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577CE9" w:rsidRDefault="00577C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577CE9" w:rsidRDefault="00577C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E9" w:rsidRDefault="00577CE9" w:rsidP="00B860F6">
      <w:r>
        <w:separator/>
      </w:r>
    </w:p>
  </w:footnote>
  <w:footnote w:type="continuationSeparator" w:id="1">
    <w:p w:rsidR="00577CE9" w:rsidRDefault="00577CE9" w:rsidP="00B86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 w:rsidP="0081731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9" w:rsidRDefault="00577C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17398A"/>
    <w:multiLevelType w:val="singleLevel"/>
    <w:tmpl w:val="EA17398A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32DF447D"/>
    <w:multiLevelType w:val="multilevel"/>
    <w:tmpl w:val="32DF447D"/>
    <w:lvl w:ilvl="0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0F6"/>
    <w:rsid w:val="00577CE9"/>
    <w:rsid w:val="005A4677"/>
    <w:rsid w:val="00817318"/>
    <w:rsid w:val="00A63907"/>
    <w:rsid w:val="00B8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Cite" w:locked="1" w:semiHidden="1" w:uiPriority="99" w:unhideWhenUsed="1"/>
    <w:lsdException w:name="HTML Definition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0F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860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60F6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B86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60F6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B86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60F6"/>
    <w:rPr>
      <w:kern w:val="2"/>
      <w:sz w:val="18"/>
    </w:rPr>
  </w:style>
  <w:style w:type="paragraph" w:styleId="NormalWeb">
    <w:name w:val="Normal (Web)"/>
    <w:basedOn w:val="Normal"/>
    <w:uiPriority w:val="99"/>
    <w:rsid w:val="00B860F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B860F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B860F6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B860F6"/>
    <w:rPr>
      <w:rFonts w:cs="Times New Roman"/>
      <w:color w:val="555555"/>
      <w:u w:val="none"/>
    </w:rPr>
  </w:style>
  <w:style w:type="character" w:styleId="Emphasis">
    <w:name w:val="Emphasis"/>
    <w:basedOn w:val="DefaultParagraphFont"/>
    <w:uiPriority w:val="99"/>
    <w:qFormat/>
    <w:rsid w:val="00B860F6"/>
    <w:rPr>
      <w:rFonts w:cs="Times New Roman"/>
    </w:rPr>
  </w:style>
  <w:style w:type="character" w:styleId="HTMLDefinition">
    <w:name w:val="HTML Definition"/>
    <w:basedOn w:val="DefaultParagraphFont"/>
    <w:uiPriority w:val="99"/>
    <w:rsid w:val="00B860F6"/>
    <w:rPr>
      <w:rFonts w:cs="Times New Roman"/>
    </w:rPr>
  </w:style>
  <w:style w:type="character" w:styleId="HTMLTypewriter">
    <w:name w:val="HTML Typewriter"/>
    <w:basedOn w:val="DefaultParagraphFont"/>
    <w:uiPriority w:val="99"/>
    <w:rsid w:val="00B860F6"/>
    <w:rPr>
      <w:rFonts w:ascii="monospace" w:eastAsia="Times New Roman" w:hAnsi="monospace" w:cs="monospace"/>
      <w:sz w:val="20"/>
    </w:rPr>
  </w:style>
  <w:style w:type="character" w:styleId="HTMLAcronym">
    <w:name w:val="HTML Acronym"/>
    <w:basedOn w:val="DefaultParagraphFont"/>
    <w:uiPriority w:val="99"/>
    <w:rsid w:val="00B860F6"/>
    <w:rPr>
      <w:rFonts w:cs="Times New Roman"/>
    </w:rPr>
  </w:style>
  <w:style w:type="character" w:styleId="HTMLVariable">
    <w:name w:val="HTML Variable"/>
    <w:basedOn w:val="DefaultParagraphFont"/>
    <w:uiPriority w:val="99"/>
    <w:rsid w:val="00B860F6"/>
    <w:rPr>
      <w:rFonts w:cs="Times New Roman"/>
    </w:rPr>
  </w:style>
  <w:style w:type="character" w:styleId="Hyperlink">
    <w:name w:val="Hyperlink"/>
    <w:basedOn w:val="DefaultParagraphFont"/>
    <w:uiPriority w:val="99"/>
    <w:rsid w:val="00B860F6"/>
    <w:rPr>
      <w:rFonts w:cs="Times New Roman"/>
      <w:color w:val="555555"/>
      <w:u w:val="none"/>
    </w:rPr>
  </w:style>
  <w:style w:type="character" w:styleId="HTMLCode">
    <w:name w:val="HTML Code"/>
    <w:basedOn w:val="DefaultParagraphFont"/>
    <w:uiPriority w:val="99"/>
    <w:rsid w:val="00B860F6"/>
    <w:rPr>
      <w:rFonts w:ascii="monospace" w:eastAsia="Times New Roman" w:hAnsi="monospace" w:cs="monospace"/>
      <w:sz w:val="20"/>
    </w:rPr>
  </w:style>
  <w:style w:type="character" w:styleId="HTMLCite">
    <w:name w:val="HTML Cite"/>
    <w:basedOn w:val="DefaultParagraphFont"/>
    <w:uiPriority w:val="99"/>
    <w:rsid w:val="00B860F6"/>
    <w:rPr>
      <w:rFonts w:cs="Times New Roman"/>
      <w:color w:val="FF0000"/>
      <w:u w:val="single"/>
    </w:rPr>
  </w:style>
  <w:style w:type="character" w:styleId="HTMLKeyboard">
    <w:name w:val="HTML Keyboard"/>
    <w:basedOn w:val="DefaultParagraphFont"/>
    <w:uiPriority w:val="99"/>
    <w:rsid w:val="00B860F6"/>
    <w:rPr>
      <w:rFonts w:ascii="monospace" w:eastAsia="Times New Roman" w:hAnsi="monospace" w:cs="monospace"/>
      <w:sz w:val="20"/>
    </w:rPr>
  </w:style>
  <w:style w:type="character" w:styleId="HTMLSample">
    <w:name w:val="HTML Sample"/>
    <w:basedOn w:val="DefaultParagraphFont"/>
    <w:uiPriority w:val="99"/>
    <w:rsid w:val="00B860F6"/>
    <w:rPr>
      <w:rFonts w:ascii="monospace" w:eastAsia="Times New Roman" w:hAnsi="monospace" w:cs="monospace"/>
    </w:rPr>
  </w:style>
  <w:style w:type="paragraph" w:customStyle="1" w:styleId="1">
    <w:name w:val="普通(网站)1"/>
    <w:basedOn w:val="Normal"/>
    <w:uiPriority w:val="99"/>
    <w:rsid w:val="00B860F6"/>
    <w:pPr>
      <w:jc w:val="left"/>
    </w:pPr>
    <w:rPr>
      <w:sz w:val="24"/>
    </w:rPr>
  </w:style>
  <w:style w:type="paragraph" w:customStyle="1" w:styleId="Char">
    <w:name w:val="Char"/>
    <w:basedOn w:val="Normal"/>
    <w:uiPriority w:val="99"/>
    <w:rsid w:val="00B860F6"/>
    <w:pPr>
      <w:widowControl/>
      <w:spacing w:line="360" w:lineRule="auto"/>
      <w:jc w:val="left"/>
    </w:pPr>
  </w:style>
  <w:style w:type="paragraph" w:customStyle="1" w:styleId="ListParagraph1">
    <w:name w:val="List Paragraph1"/>
    <w:basedOn w:val="Normal"/>
    <w:uiPriority w:val="99"/>
    <w:rsid w:val="00B860F6"/>
    <w:pPr>
      <w:ind w:firstLineChars="200" w:firstLine="420"/>
    </w:pPr>
  </w:style>
  <w:style w:type="character" w:customStyle="1" w:styleId="bdsmore2">
    <w:name w:val="bds_more2"/>
    <w:basedOn w:val="DefaultParagraphFont"/>
    <w:uiPriority w:val="99"/>
    <w:rsid w:val="00B860F6"/>
    <w:rPr>
      <w:rFonts w:cs="Times New Roman"/>
    </w:rPr>
  </w:style>
  <w:style w:type="character" w:customStyle="1" w:styleId="bdsmore1">
    <w:name w:val="bds_more1"/>
    <w:basedOn w:val="DefaultParagraphFont"/>
    <w:uiPriority w:val="99"/>
    <w:rsid w:val="00B860F6"/>
    <w:rPr>
      <w:rFonts w:ascii="宋体" w:eastAsia="宋体" w:hAnsi="宋体" w:cs="宋体"/>
    </w:rPr>
  </w:style>
  <w:style w:type="character" w:customStyle="1" w:styleId="right5">
    <w:name w:val="right5"/>
    <w:basedOn w:val="DefaultParagraphFont"/>
    <w:uiPriority w:val="99"/>
    <w:rsid w:val="00B860F6"/>
    <w:rPr>
      <w:rFonts w:cs="Times New Roman"/>
    </w:rPr>
  </w:style>
  <w:style w:type="character" w:customStyle="1" w:styleId="right6">
    <w:name w:val="right6"/>
    <w:basedOn w:val="DefaultParagraphFont"/>
    <w:uiPriority w:val="99"/>
    <w:rsid w:val="00B860F6"/>
    <w:rPr>
      <w:rFonts w:cs="Times New Roman"/>
    </w:rPr>
  </w:style>
  <w:style w:type="character" w:customStyle="1" w:styleId="bdsnopic2">
    <w:name w:val="bds_nopic2"/>
    <w:basedOn w:val="DefaultParagraphFont"/>
    <w:uiPriority w:val="99"/>
    <w:rsid w:val="00B860F6"/>
    <w:rPr>
      <w:rFonts w:cs="Times New Roman"/>
    </w:rPr>
  </w:style>
  <w:style w:type="character" w:customStyle="1" w:styleId="bdsnopic1">
    <w:name w:val="bds_nopic1"/>
    <w:basedOn w:val="DefaultParagraphFont"/>
    <w:uiPriority w:val="99"/>
    <w:rsid w:val="00B860F6"/>
    <w:rPr>
      <w:rFonts w:cs="Times New Roman"/>
    </w:rPr>
  </w:style>
  <w:style w:type="character" w:customStyle="1" w:styleId="retractmanager">
    <w:name w:val="retractmanager"/>
    <w:basedOn w:val="DefaultParagraphFont"/>
    <w:uiPriority w:val="99"/>
    <w:rsid w:val="00B860F6"/>
    <w:rPr>
      <w:rFonts w:cs="Times New Roman"/>
      <w:color w:val="FF002A"/>
    </w:rPr>
  </w:style>
  <w:style w:type="character" w:customStyle="1" w:styleId="bdsmore">
    <w:name w:val="bds_more"/>
    <w:basedOn w:val="DefaultParagraphFont"/>
    <w:uiPriority w:val="99"/>
    <w:rsid w:val="00B860F6"/>
    <w:rPr>
      <w:rFonts w:cs="Times New Roman"/>
    </w:rPr>
  </w:style>
  <w:style w:type="character" w:customStyle="1" w:styleId="displaycontent">
    <w:name w:val="displaycontent"/>
    <w:basedOn w:val="DefaultParagraphFont"/>
    <w:uiPriority w:val="99"/>
    <w:rsid w:val="00B860F6"/>
    <w:rPr>
      <w:rFonts w:cs="Times New Roman"/>
      <w:color w:val="FF002A"/>
    </w:rPr>
  </w:style>
  <w:style w:type="character" w:customStyle="1" w:styleId="bdsnopic">
    <w:name w:val="bds_nopic"/>
    <w:basedOn w:val="DefaultParagraphFont"/>
    <w:uiPriority w:val="99"/>
    <w:rsid w:val="00B860F6"/>
    <w:rPr>
      <w:rFonts w:cs="Times New Roman"/>
    </w:rPr>
  </w:style>
  <w:style w:type="character" w:customStyle="1" w:styleId="mk5wzstyle">
    <w:name w:val="mk5_wzstyle"/>
    <w:basedOn w:val="DefaultParagraphFont"/>
    <w:uiPriority w:val="99"/>
    <w:rsid w:val="00B860F6"/>
    <w:rPr>
      <w:rFonts w:cs="Times New Roman"/>
    </w:rPr>
  </w:style>
  <w:style w:type="character" w:customStyle="1" w:styleId="hover17">
    <w:name w:val="hover17"/>
    <w:basedOn w:val="DefaultParagraphFont"/>
    <w:uiPriority w:val="99"/>
    <w:rsid w:val="00B860F6"/>
    <w:rPr>
      <w:rFonts w:cs="Times New Roman"/>
    </w:rPr>
  </w:style>
  <w:style w:type="character" w:customStyle="1" w:styleId="size">
    <w:name w:val="size"/>
    <w:basedOn w:val="DefaultParagraphFont"/>
    <w:uiPriority w:val="99"/>
    <w:rsid w:val="00B860F6"/>
    <w:rPr>
      <w:rFonts w:cs="Times New Roman"/>
    </w:rPr>
  </w:style>
  <w:style w:type="character" w:customStyle="1" w:styleId="p12blue">
    <w:name w:val="p12_blue"/>
    <w:basedOn w:val="DefaultParagraphFont"/>
    <w:uiPriority w:val="99"/>
    <w:rsid w:val="00B860F6"/>
    <w:rPr>
      <w:rFonts w:cs="Times New Roman"/>
    </w:rPr>
  </w:style>
  <w:style w:type="character" w:customStyle="1" w:styleId="bsharetext">
    <w:name w:val="bsharetext"/>
    <w:basedOn w:val="DefaultParagraphFont"/>
    <w:uiPriority w:val="99"/>
    <w:rsid w:val="00B860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433</Words>
  <Characters>2469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高立朝 10.104.97.45</dc:creator>
  <cp:keywords/>
  <dc:description/>
  <cp:lastModifiedBy>Skyfree</cp:lastModifiedBy>
  <cp:revision>2</cp:revision>
  <cp:lastPrinted>2013-01-16T11:27:00Z</cp:lastPrinted>
  <dcterms:created xsi:type="dcterms:W3CDTF">2021-03-09T02:24:00Z</dcterms:created>
  <dcterms:modified xsi:type="dcterms:W3CDTF">2022-02-23T03:34:00Z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