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20</w:t>
      </w:r>
      <w:r>
        <w:rPr>
          <w:rFonts w:hint="eastAsia" w:eastAsia="方正小标宋_GBK"/>
          <w:bCs/>
          <w:kern w:val="0"/>
          <w:sz w:val="44"/>
          <w:szCs w:val="44"/>
        </w:rPr>
        <w:t>21</w:t>
      </w:r>
      <w:r>
        <w:rPr>
          <w:rFonts w:eastAsia="方正小标宋_GBK"/>
          <w:bCs/>
          <w:kern w:val="0"/>
          <w:sz w:val="44"/>
          <w:szCs w:val="44"/>
        </w:rPr>
        <w:t>年</w:t>
      </w:r>
      <w:r>
        <w:rPr>
          <w:rFonts w:hint="eastAsia" w:ascii="方正小标宋_GBK" w:eastAsia="方正小标宋_GBK"/>
          <w:bCs/>
          <w:kern w:val="0"/>
          <w:sz w:val="44"/>
          <w:szCs w:val="44"/>
        </w:rPr>
        <w:t>新化县人民检察院</w:t>
      </w:r>
      <w:r>
        <w:rPr>
          <w:rFonts w:eastAsia="方正小标宋_GBK"/>
          <w:bCs/>
          <w:kern w:val="0"/>
          <w:sz w:val="44"/>
          <w:szCs w:val="44"/>
        </w:rPr>
        <w:t>单位预算</w:t>
      </w:r>
    </w:p>
    <w:p>
      <w:pPr>
        <w:widowControl/>
        <w:spacing w:line="600" w:lineRule="exact"/>
        <w:jc w:val="center"/>
        <w:rPr>
          <w:rFonts w:ascii="楷体_GB2312"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ascii="方正小标宋_GBK"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hint="eastAsia" w:ascii="方正小标宋_GBK" w:eastAsia="方正小标宋_GBK"/>
          <w:bCs/>
          <w:kern w:val="0"/>
          <w:sz w:val="32"/>
          <w:szCs w:val="32"/>
        </w:rPr>
        <w:t>2</w:t>
      </w:r>
      <w:r>
        <w:rPr>
          <w:rFonts w:hint="eastAsia" w:eastAsia="仿宋_GB2312"/>
          <w:b/>
          <w:bCs/>
          <w:kern w:val="0"/>
          <w:sz w:val="32"/>
          <w:szCs w:val="32"/>
        </w:rPr>
        <w:t>021年单位预算说明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第二部分 </w:t>
      </w:r>
      <w:r>
        <w:rPr>
          <w:rFonts w:hint="eastAsia" w:eastAsia="仿宋_GB2312"/>
          <w:b/>
          <w:bCs/>
          <w:kern w:val="0"/>
          <w:sz w:val="32"/>
          <w:szCs w:val="32"/>
        </w:rPr>
        <w:t>2021</w:t>
      </w:r>
      <w:r>
        <w:rPr>
          <w:rFonts w:eastAsia="仿宋_GB2312"/>
          <w:b/>
          <w:bCs/>
          <w:kern w:val="0"/>
          <w:sz w:val="32"/>
          <w:szCs w:val="32"/>
        </w:rPr>
        <w:t>年单位预算表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</w:t>
      </w:r>
      <w:r>
        <w:rPr>
          <w:rFonts w:hint="eastAsia" w:eastAsia="仿宋_GB2312"/>
          <w:sz w:val="32"/>
          <w:szCs w:val="32"/>
        </w:rPr>
        <w:t>支出预算分类汇总表</w:t>
      </w:r>
      <w:r>
        <w:rPr>
          <w:rFonts w:eastAsia="仿宋_GB2312"/>
          <w:sz w:val="32"/>
          <w:szCs w:val="32"/>
        </w:rPr>
        <w:t>（按</w:t>
      </w:r>
      <w:r>
        <w:rPr>
          <w:rFonts w:hint="eastAsia" w:eastAsia="仿宋_GB2312"/>
          <w:sz w:val="32"/>
          <w:szCs w:val="32"/>
        </w:rPr>
        <w:t>政府</w:t>
      </w:r>
      <w:r>
        <w:rPr>
          <w:rFonts w:eastAsia="仿宋_GB2312"/>
          <w:sz w:val="32"/>
          <w:szCs w:val="32"/>
        </w:rPr>
        <w:t>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</w:t>
      </w:r>
      <w:r>
        <w:rPr>
          <w:rFonts w:hint="eastAsia" w:eastAsia="仿宋_GB2312"/>
          <w:sz w:val="32"/>
          <w:szCs w:val="32"/>
        </w:rPr>
        <w:t>预算分类汇总</w:t>
      </w:r>
      <w:r>
        <w:rPr>
          <w:rFonts w:eastAsia="仿宋_GB2312"/>
          <w:sz w:val="32"/>
          <w:szCs w:val="32"/>
        </w:rPr>
        <w:t>表（按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</w:t>
      </w:r>
      <w:r>
        <w:rPr>
          <w:rFonts w:hint="eastAsia" w:eastAsia="仿宋_GB2312"/>
          <w:sz w:val="32"/>
          <w:szCs w:val="32"/>
        </w:rPr>
        <w:t>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</w:t>
      </w:r>
      <w:r>
        <w:rPr>
          <w:rFonts w:hint="eastAsia" w:eastAsia="仿宋_GB2312"/>
          <w:sz w:val="32"/>
          <w:szCs w:val="32"/>
        </w:rPr>
        <w:t>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</w:t>
      </w:r>
      <w:r>
        <w:rPr>
          <w:rFonts w:hint="eastAsia" w:eastAsia="仿宋_GB2312"/>
          <w:sz w:val="32"/>
          <w:szCs w:val="32"/>
        </w:rPr>
        <w:t>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12、一般公共预算基本支出表-公用经费（</w:t>
      </w:r>
      <w:r>
        <w:rPr>
          <w:rFonts w:eastAsia="仿宋_GB2312"/>
          <w:sz w:val="32"/>
          <w:szCs w:val="32"/>
        </w:rPr>
        <w:t>商品和服务支出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（按</w:t>
      </w:r>
      <w:r>
        <w:rPr>
          <w:rFonts w:hint="eastAsia" w:eastAsia="仿宋_GB2312"/>
          <w:sz w:val="32"/>
          <w:szCs w:val="32"/>
        </w:rPr>
        <w:t>政府</w:t>
      </w:r>
      <w:r>
        <w:rPr>
          <w:rFonts w:eastAsia="仿宋_GB2312"/>
          <w:sz w:val="32"/>
          <w:szCs w:val="32"/>
        </w:rPr>
        <w:t>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一般公共预算基本支出表-公用经费（</w:t>
      </w:r>
      <w:r>
        <w:rPr>
          <w:rFonts w:eastAsia="仿宋_GB2312"/>
          <w:sz w:val="32"/>
          <w:szCs w:val="32"/>
        </w:rPr>
        <w:t>商品和服务支出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（按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600" w:lineRule="exact"/>
        <w:rPr>
          <w:rFonts w:ascii="宋体" w:hAnsi="宋体"/>
          <w:b/>
          <w:sz w:val="44"/>
          <w:szCs w:val="44"/>
        </w:rPr>
      </w:pPr>
    </w:p>
    <w:p>
      <w:pPr>
        <w:widowControl/>
        <w:spacing w:line="600" w:lineRule="exact"/>
        <w:jc w:val="center"/>
        <w:rPr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第一部分 </w:t>
      </w:r>
      <w:r>
        <w:rPr>
          <w:rFonts w:hint="eastAsia"/>
          <w:b/>
          <w:bCs/>
          <w:kern w:val="0"/>
          <w:sz w:val="44"/>
          <w:szCs w:val="44"/>
        </w:rPr>
        <w:t>2021</w:t>
      </w:r>
      <w:r>
        <w:rPr>
          <w:b/>
          <w:bCs/>
          <w:kern w:val="0"/>
          <w:sz w:val="44"/>
          <w:szCs w:val="44"/>
        </w:rPr>
        <w:t>年单位预算说明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一、单位基本概况</w:t>
      </w:r>
    </w:p>
    <w:p>
      <w:pPr>
        <w:ind w:firstLine="630" w:firstLineChars="196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（一）职能职责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</w:t>
      </w:r>
      <w:r>
        <w:rPr>
          <w:rFonts w:eastAsia="仿宋_GB2312"/>
          <w:color w:val="000000"/>
          <w:sz w:val="32"/>
          <w:szCs w:val="32"/>
        </w:rPr>
        <w:t>深入贯彻习近平新时代中国特色社会主义思想，深入贯彻党的路线方针政策和决策部署，统一全省检察机关思想和行动，坚持党对检察工作的绝对领导，坚决维护习近平总书记的核心地位，坚决维护党中央权威和集中统一领导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2.贯彻落实上级人民检察院的各项工作部署</w:t>
      </w:r>
      <w:r>
        <w:rPr>
          <w:rFonts w:eastAsia="仿宋_GB2312"/>
          <w:color w:val="000000"/>
          <w:sz w:val="32"/>
          <w:szCs w:val="32"/>
        </w:rPr>
        <w:t>，研究制定检察工作规划，部署检察工作任务。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3.</w:t>
      </w:r>
      <w:r>
        <w:rPr>
          <w:rFonts w:eastAsia="仿宋_GB2312"/>
          <w:color w:val="000000"/>
          <w:sz w:val="32"/>
          <w:szCs w:val="32"/>
        </w:rPr>
        <w:t>依照法律规定对由</w:t>
      </w:r>
      <w:r>
        <w:rPr>
          <w:rFonts w:hint="eastAsia" w:eastAsia="仿宋_GB2312"/>
          <w:color w:val="000000"/>
          <w:sz w:val="32"/>
          <w:szCs w:val="32"/>
        </w:rPr>
        <w:t>县</w:t>
      </w:r>
      <w:r>
        <w:rPr>
          <w:rFonts w:eastAsia="仿宋_GB2312"/>
          <w:color w:val="000000"/>
          <w:sz w:val="32"/>
          <w:szCs w:val="32"/>
        </w:rPr>
        <w:t>人民检察院直接受理的刑事案件行使侦查权。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4.</w:t>
      </w:r>
      <w:r>
        <w:rPr>
          <w:rFonts w:eastAsia="仿宋_GB2312"/>
          <w:color w:val="000000"/>
          <w:sz w:val="32"/>
          <w:szCs w:val="32"/>
        </w:rPr>
        <w:t>对刑事案件依法审查批准逮捕、决定逮捕、提起公诉。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5.</w:t>
      </w:r>
      <w:r>
        <w:rPr>
          <w:rFonts w:eastAsia="仿宋_GB2312"/>
          <w:color w:val="000000"/>
          <w:sz w:val="32"/>
          <w:szCs w:val="32"/>
        </w:rPr>
        <w:t>负责应由</w:t>
      </w:r>
      <w:r>
        <w:rPr>
          <w:rFonts w:hint="eastAsia" w:eastAsia="仿宋_GB2312"/>
          <w:color w:val="000000"/>
          <w:sz w:val="32"/>
          <w:szCs w:val="32"/>
        </w:rPr>
        <w:t>县</w:t>
      </w:r>
      <w:r>
        <w:rPr>
          <w:rFonts w:eastAsia="仿宋_GB2312"/>
          <w:color w:val="000000"/>
          <w:sz w:val="32"/>
          <w:szCs w:val="32"/>
        </w:rPr>
        <w:t>人民检察院承办的刑事、民事、行政诉讼活动及刑事、民事、行政判决和裁定等生效法律文书执行的法律监督工作。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6.</w:t>
      </w:r>
      <w:r>
        <w:rPr>
          <w:rFonts w:eastAsia="仿宋_GB2312"/>
          <w:color w:val="000000"/>
          <w:sz w:val="32"/>
          <w:szCs w:val="32"/>
        </w:rPr>
        <w:t>负责应由</w:t>
      </w:r>
      <w:r>
        <w:rPr>
          <w:rFonts w:hint="eastAsia" w:eastAsia="仿宋_GB2312"/>
          <w:color w:val="000000"/>
          <w:sz w:val="32"/>
          <w:szCs w:val="32"/>
        </w:rPr>
        <w:t>县</w:t>
      </w:r>
      <w:r>
        <w:rPr>
          <w:rFonts w:eastAsia="仿宋_GB2312"/>
          <w:color w:val="000000"/>
          <w:sz w:val="32"/>
          <w:szCs w:val="32"/>
        </w:rPr>
        <w:t>人民检察院承办的提起公益诉讼工作。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7.</w:t>
      </w:r>
      <w:r>
        <w:rPr>
          <w:rFonts w:eastAsia="仿宋_GB2312"/>
          <w:color w:val="000000"/>
          <w:sz w:val="32"/>
          <w:szCs w:val="32"/>
        </w:rPr>
        <w:t xml:space="preserve"> 负责应由</w:t>
      </w:r>
      <w:r>
        <w:rPr>
          <w:rFonts w:hint="eastAsia" w:eastAsia="仿宋_GB2312"/>
          <w:color w:val="000000"/>
          <w:sz w:val="32"/>
          <w:szCs w:val="32"/>
        </w:rPr>
        <w:t>县</w:t>
      </w:r>
      <w:r>
        <w:rPr>
          <w:rFonts w:eastAsia="仿宋_GB2312"/>
          <w:color w:val="000000"/>
          <w:sz w:val="32"/>
          <w:szCs w:val="32"/>
        </w:rPr>
        <w:t>人民检察院承办的对看守所</w:t>
      </w:r>
      <w:r>
        <w:rPr>
          <w:rFonts w:hint="eastAsia" w:eastAsia="仿宋_GB2312"/>
          <w:color w:val="000000"/>
          <w:sz w:val="32"/>
          <w:szCs w:val="32"/>
        </w:rPr>
        <w:t>、社区矫正机构</w:t>
      </w:r>
      <w:r>
        <w:rPr>
          <w:rFonts w:eastAsia="仿宋_GB2312"/>
          <w:color w:val="000000"/>
          <w:sz w:val="32"/>
          <w:szCs w:val="32"/>
        </w:rPr>
        <w:t>等执法活动的法律监督工作。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8.</w:t>
      </w:r>
      <w:r>
        <w:rPr>
          <w:rFonts w:eastAsia="仿宋_GB2312"/>
          <w:color w:val="000000"/>
          <w:sz w:val="32"/>
          <w:szCs w:val="32"/>
        </w:rPr>
        <w:t xml:space="preserve"> 受理向</w:t>
      </w:r>
      <w:r>
        <w:rPr>
          <w:rFonts w:hint="eastAsia" w:eastAsia="仿宋_GB2312"/>
          <w:color w:val="000000"/>
          <w:sz w:val="32"/>
          <w:szCs w:val="32"/>
        </w:rPr>
        <w:t>县</w:t>
      </w:r>
      <w:r>
        <w:rPr>
          <w:rFonts w:eastAsia="仿宋_GB2312"/>
          <w:color w:val="000000"/>
          <w:sz w:val="32"/>
          <w:szCs w:val="32"/>
        </w:rPr>
        <w:t>人民检察院的控告申诉。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9.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负责</w:t>
      </w:r>
      <w:r>
        <w:rPr>
          <w:rFonts w:eastAsia="仿宋_GB2312"/>
          <w:color w:val="000000"/>
          <w:sz w:val="32"/>
          <w:szCs w:val="32"/>
        </w:rPr>
        <w:t>检察机关的理论研究工作。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10.</w:t>
      </w:r>
      <w:r>
        <w:rPr>
          <w:rFonts w:eastAsia="仿宋_GB2312"/>
          <w:color w:val="000000"/>
          <w:sz w:val="32"/>
          <w:szCs w:val="32"/>
        </w:rPr>
        <w:t xml:space="preserve"> 负责检察机关队伍建设和思想政治工作。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11.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负责</w:t>
      </w:r>
      <w:r>
        <w:rPr>
          <w:rFonts w:eastAsia="仿宋_GB2312"/>
          <w:color w:val="000000"/>
          <w:sz w:val="32"/>
          <w:szCs w:val="32"/>
        </w:rPr>
        <w:t>检务督察工作。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12.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负责</w:t>
      </w:r>
      <w:r>
        <w:rPr>
          <w:rFonts w:eastAsia="仿宋_GB2312"/>
          <w:color w:val="000000"/>
          <w:sz w:val="32"/>
          <w:szCs w:val="32"/>
        </w:rPr>
        <w:t>检察机关财务装备</w:t>
      </w:r>
      <w:r>
        <w:rPr>
          <w:rFonts w:hint="eastAsia" w:eastAsia="仿宋_GB2312"/>
          <w:color w:val="000000"/>
          <w:sz w:val="32"/>
          <w:szCs w:val="32"/>
        </w:rPr>
        <w:t>和</w:t>
      </w:r>
      <w:r>
        <w:rPr>
          <w:rFonts w:eastAsia="仿宋_GB2312"/>
          <w:color w:val="000000"/>
          <w:sz w:val="32"/>
          <w:szCs w:val="32"/>
        </w:rPr>
        <w:t>检察技术信息工作。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13. 负责其他应当由县人民</w:t>
      </w:r>
      <w:r>
        <w:rPr>
          <w:rFonts w:eastAsia="仿宋_GB2312"/>
          <w:color w:val="000000"/>
          <w:sz w:val="32"/>
          <w:szCs w:val="32"/>
        </w:rPr>
        <w:t xml:space="preserve">检察院承办的事项。 </w:t>
      </w:r>
    </w:p>
    <w:p>
      <w:pPr>
        <w:widowControl/>
        <w:spacing w:line="600" w:lineRule="exact"/>
        <w:ind w:firstLine="630" w:firstLineChars="19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（二）机构设置</w:t>
      </w:r>
    </w:p>
    <w:p>
      <w:pPr>
        <w:pStyle w:val="39"/>
        <w:widowControl/>
        <w:snapToGrid w:val="0"/>
        <w:spacing w:line="600" w:lineRule="exact"/>
        <w:ind w:firstLine="640"/>
        <w:jc w:val="both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新化县人民检察院现有8个内设机构，分别为：</w:t>
      </w:r>
      <w:r>
        <w:rPr>
          <w:rFonts w:ascii="仿宋_GB2312" w:hAnsi="仿宋_GB2312" w:eastAsia="仿宋_GB2312" w:cs="仿宋_GB2312"/>
          <w:sz w:val="32"/>
        </w:rPr>
        <w:t>办公室、第一检察部、第二检察部、第三检察部、第四检察部、第五检察部、第六检察部、政治部。</w:t>
      </w:r>
    </w:p>
    <w:p>
      <w:pPr>
        <w:pStyle w:val="39"/>
        <w:widowControl/>
        <w:numPr>
          <w:ilvl w:val="0"/>
          <w:numId w:val="1"/>
        </w:numPr>
        <w:snapToGrid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预算单位构成</w:t>
      </w:r>
    </w:p>
    <w:p>
      <w:pPr>
        <w:pStyle w:val="39"/>
        <w:widowControl/>
        <w:numPr>
          <w:ilvl w:val="0"/>
          <w:numId w:val="0"/>
        </w:numPr>
        <w:snapToGrid w:val="0"/>
        <w:spacing w:line="600" w:lineRule="exact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新化县人民检察院</w:t>
      </w:r>
      <w:r>
        <w:rPr>
          <w:rFonts w:hint="eastAsia" w:ascii="仿宋_GB2312" w:hAnsi="仿宋_GB2312" w:eastAsia="仿宋_GB2312" w:cs="仿宋_GB2312"/>
          <w:sz w:val="32"/>
          <w:szCs w:val="32"/>
        </w:rPr>
        <w:t>只有本级，无其他预算单位，因此本预算仅含本级预算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 xml:space="preserve"> </w:t>
      </w:r>
    </w:p>
    <w:p>
      <w:pPr>
        <w:widowControl/>
        <w:spacing w:line="60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二</w:t>
      </w:r>
      <w:r>
        <w:rPr>
          <w:rFonts w:eastAsia="黑体"/>
          <w:bCs/>
          <w:kern w:val="0"/>
          <w:sz w:val="32"/>
          <w:szCs w:val="32"/>
        </w:rPr>
        <w:t>、单位收支总体情况</w:t>
      </w:r>
    </w:p>
    <w:p>
      <w:pPr>
        <w:ind w:firstLine="645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（一）收入预算：</w:t>
      </w: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hint="eastAsia" w:ascii="仿宋_GB2312" w:eastAsia="仿宋_GB2312"/>
          <w:color w:val="000000"/>
          <w:sz w:val="32"/>
          <w:szCs w:val="32"/>
        </w:rPr>
        <w:t>一般公共预算拨款、中央财政补助和上年结余结转资金</w:t>
      </w:r>
      <w:r>
        <w:rPr>
          <w:rFonts w:hint="eastAsia" w:ascii="仿宋_GB2312" w:eastAsia="仿宋_GB2312"/>
          <w:sz w:val="32"/>
          <w:szCs w:val="32"/>
        </w:rPr>
        <w:t>。2021年本单位收入预算1865.93万元，其中，一般公共预算拨款1300.79万元，中央财政补助491.04万元，上年结余结转74.1万元，无政府性基金、国有资本经营预算拨款和纳入专户管理的非税收入。收入较去年增加74.7万元，主要是因为上年结转结余增加74.1万元，今年首次纳入预算批复，一般公共预算拨款减少20.4万元，中央财政补助增加21万元。</w:t>
      </w:r>
    </w:p>
    <w:p>
      <w:pPr>
        <w:rPr>
          <w:rFonts w:ascii="宋体" w:hAnsi="宋体" w:eastAsia="仿宋_GB2312" w:cs="宋体"/>
          <w:b/>
          <w:bCs/>
          <w:sz w:val="20"/>
          <w:szCs w:val="20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bCs/>
          <w:sz w:val="32"/>
          <w:szCs w:val="32"/>
        </w:rPr>
        <w:t>（二）支出预算：</w:t>
      </w:r>
      <w:r>
        <w:rPr>
          <w:rFonts w:hint="eastAsia" w:ascii="仿宋_GB2312" w:eastAsia="仿宋_GB2312"/>
          <w:sz w:val="32"/>
          <w:szCs w:val="32"/>
        </w:rPr>
        <w:t>2021年本单位支出预算1865.93万元，其中，公共安全1628.93万元，社会保障和就业支出123万元，卫生</w:t>
      </w:r>
      <w:r>
        <w:rPr>
          <w:rFonts w:hint="eastAsia" w:ascii="仿宋_GB2312" w:hAnsi="宋体" w:eastAsia="仿宋_GB2312"/>
          <w:sz w:val="32"/>
          <w:szCs w:val="32"/>
        </w:rPr>
        <w:t>健康支出6万元，住房保障支出108万元。</w:t>
      </w:r>
      <w:r>
        <w:rPr>
          <w:rFonts w:hint="eastAsia" w:ascii="仿宋_GB2312" w:eastAsia="仿宋_GB2312"/>
          <w:sz w:val="32"/>
          <w:szCs w:val="32"/>
        </w:rPr>
        <w:t>支出较去年增加74.7万元，主要是公共安全支出增加85.7万元，社会保障和就业支出增加23万元，卫生健康支出减少44万元，住房保障支出增加10万元。</w:t>
      </w:r>
    </w:p>
    <w:p>
      <w:pPr>
        <w:pStyle w:val="41"/>
        <w:widowControl/>
        <w:numPr>
          <w:ilvl w:val="0"/>
          <w:numId w:val="2"/>
        </w:numPr>
        <w:spacing w:line="600" w:lineRule="exact"/>
        <w:ind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一般公共预算拨款支出</w:t>
      </w:r>
    </w:p>
    <w:p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2021年一般公共预算拨款支出预算1865.93万元，其中，公共安全支出1628.93万元，占87.3%；社会保障和就业支出123万元，占6.59%；卫生健康支出6万元，占0.32%；住房保障支出108万元，占5.79%。具体安排情况如下：</w:t>
      </w:r>
    </w:p>
    <w:p>
      <w:pPr>
        <w:widowControl/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（一）基本支出：</w:t>
      </w:r>
      <w:r>
        <w:rPr>
          <w:rFonts w:hint="eastAsia" w:ascii="仿宋_GB2312" w:eastAsia="仿宋_GB2312"/>
          <w:sz w:val="32"/>
          <w:szCs w:val="32"/>
        </w:rPr>
        <w:t>2021年本单位基本支出预算数1744.83万元，主要是为保障单位正常运转、完成日常工作任务而发生的各项支出，包括用于基本工资、津贴补贴等人员经费以及办公费、印刷费、水电费、办公设备购置等公用经费。</w:t>
      </w:r>
    </w:p>
    <w:p>
      <w:pPr>
        <w:ind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（二）项目支出：</w:t>
      </w:r>
      <w:r>
        <w:rPr>
          <w:rFonts w:hint="eastAsia" w:ascii="仿宋_GB2312" w:eastAsia="仿宋_GB2312"/>
          <w:sz w:val="32"/>
          <w:szCs w:val="32"/>
        </w:rPr>
        <w:t>2021年本单位项目支出预算121.1万元，主要是</w:t>
      </w:r>
      <w:r>
        <w:rPr>
          <w:rFonts w:hint="eastAsia" w:ascii="仿宋_GB2312" w:hAnsi="宋体" w:eastAsia="仿宋_GB2312"/>
          <w:sz w:val="32"/>
          <w:szCs w:val="32"/>
        </w:rPr>
        <w:t>单位为完成特定行政工作任务或事业发展目标而发生的支出，包括有关事业发展专项、专项业务费等，其中：业务工作专项支出</w:t>
      </w:r>
      <w:r>
        <w:rPr>
          <w:rFonts w:hint="eastAsia" w:ascii="仿宋_GB2312" w:eastAsia="仿宋_GB2312"/>
          <w:bCs/>
          <w:sz w:val="32"/>
          <w:szCs w:val="32"/>
        </w:rPr>
        <w:t>95.1</w:t>
      </w:r>
      <w:r>
        <w:rPr>
          <w:rFonts w:hint="eastAsia" w:ascii="仿宋_GB2312" w:hAnsi="宋体" w:eastAsia="仿宋_GB2312"/>
          <w:sz w:val="32"/>
          <w:szCs w:val="32"/>
        </w:rPr>
        <w:t>万元，主要用于公益诉讼快速检测体系等的建设、扫黑除恶工作、扶贫工作和防疫工作的开展等方面；运行维护专项支出26万元，主要用于办公设备购置和公车购置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四、政府性基金预算支出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2021年本单位无政府性基金安排的支出。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、其他重要事项的情况说明</w:t>
      </w:r>
    </w:p>
    <w:p>
      <w:pPr>
        <w:widowControl/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（一）机关运行经费：</w:t>
      </w:r>
      <w:r>
        <w:rPr>
          <w:rFonts w:hint="eastAsia" w:ascii="仿宋_GB2312" w:eastAsia="仿宋_GB2312"/>
          <w:bCs/>
          <w:sz w:val="32"/>
          <w:szCs w:val="32"/>
        </w:rPr>
        <w:t>如考虑中央财政补助，按全口径统计，</w:t>
      </w:r>
      <w:r>
        <w:rPr>
          <w:rFonts w:hint="eastAsia" w:ascii="仿宋_GB2312" w:hAnsi="宋体" w:eastAsia="仿宋_GB2312"/>
          <w:sz w:val="32"/>
          <w:szCs w:val="32"/>
        </w:rPr>
        <w:t>2021年本单位运行经费602.13万元，</w:t>
      </w:r>
      <w:r>
        <w:rPr>
          <w:rFonts w:hint="eastAsia" w:ascii="仿宋_GB2312" w:eastAsia="仿宋_GB2312"/>
          <w:sz w:val="32"/>
          <w:szCs w:val="32"/>
        </w:rPr>
        <w:t xml:space="preserve"> 2020年本单位运行经费预算为621.53万元， 2021年</w:t>
      </w:r>
      <w:r>
        <w:rPr>
          <w:rFonts w:hint="eastAsia" w:ascii="仿宋_GB2312" w:hAnsi="宋体" w:eastAsia="仿宋_GB2312"/>
          <w:sz w:val="32"/>
          <w:szCs w:val="32"/>
        </w:rPr>
        <w:t>比2020年预算减少19.4</w:t>
      </w:r>
      <w:r>
        <w:rPr>
          <w:rFonts w:hint="eastAsia" w:ascii="仿宋_GB2312" w:eastAsia="仿宋_GB2312"/>
          <w:sz w:val="32"/>
          <w:szCs w:val="32"/>
        </w:rPr>
        <w:t>万元，下降3.12%，主要是按要求严格控制机关运行经费预算。</w:t>
      </w:r>
    </w:p>
    <w:p>
      <w:pPr>
        <w:widowControl/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（二）“三公”经费预算：</w:t>
      </w:r>
      <w:r>
        <w:rPr>
          <w:rFonts w:hint="eastAsia" w:ascii="仿宋_GB2312" w:eastAsia="仿宋_GB2312"/>
          <w:bCs/>
          <w:sz w:val="32"/>
          <w:szCs w:val="32"/>
        </w:rPr>
        <w:t>如考虑中央财政补助，按全口径统计，</w:t>
      </w:r>
      <w:r>
        <w:rPr>
          <w:rFonts w:hint="eastAsia" w:ascii="仿宋_GB2312" w:hAnsi="宋体" w:eastAsia="仿宋_GB2312"/>
          <w:sz w:val="32"/>
          <w:szCs w:val="32"/>
        </w:rPr>
        <w:t>2021年本单位</w:t>
      </w:r>
      <w:r>
        <w:rPr>
          <w:rFonts w:hint="eastAsia" w:ascii="仿宋_GB2312" w:eastAsia="仿宋_GB2312"/>
          <w:sz w:val="32"/>
          <w:szCs w:val="32"/>
        </w:rPr>
        <w:t xml:space="preserve"> “三公”经费预算数为73.8万元，其中，公务接待费7.8万元，公务用车购置及运行费66万元（其中，公务用车购置费18万元，公务用车运行费48万元），2020年本单位 “三公”经费预算为73.8万元，2021年“三公”经费预算较2020年无变动。</w:t>
      </w:r>
    </w:p>
    <w:p>
      <w:pPr>
        <w:widowControl/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（三）一般性支出情况：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2021年本单位无会议费和培训费预算，无节庆、晚会、论坛、赛事等活动预算。</w:t>
      </w:r>
    </w:p>
    <w:p>
      <w:pPr>
        <w:widowControl/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）政府采购情况：</w:t>
      </w: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hAnsi="宋体" w:eastAsia="仿宋_GB2312"/>
          <w:sz w:val="32"/>
          <w:szCs w:val="32"/>
        </w:rPr>
        <w:t>本单位</w:t>
      </w:r>
      <w:r>
        <w:rPr>
          <w:rFonts w:hint="eastAsia" w:ascii="仿宋_GB2312" w:eastAsia="仿宋_GB2312"/>
          <w:sz w:val="32"/>
          <w:szCs w:val="32"/>
        </w:rPr>
        <w:t>政府采购预算总额58万元，其中，</w:t>
      </w:r>
      <w:r>
        <w:rPr>
          <w:rFonts w:hint="eastAsia" w:ascii="仿宋_GB2312" w:hAnsi="宋体" w:eastAsia="仿宋_GB2312"/>
          <w:sz w:val="32"/>
          <w:szCs w:val="32"/>
        </w:rPr>
        <w:t>政府采购货物预算0</w:t>
      </w:r>
      <w:r>
        <w:rPr>
          <w:rFonts w:hint="eastAsia" w:ascii="仿宋_GB2312" w:eastAsia="仿宋_GB2312"/>
          <w:sz w:val="32"/>
          <w:szCs w:val="32"/>
        </w:rPr>
        <w:t>万元；</w:t>
      </w:r>
      <w:r>
        <w:rPr>
          <w:rFonts w:hint="eastAsia" w:ascii="仿宋_GB2312" w:hAnsi="宋体" w:eastAsia="仿宋_GB2312"/>
          <w:sz w:val="32"/>
          <w:szCs w:val="32"/>
        </w:rPr>
        <w:t>政府采购服务预算58</w:t>
      </w:r>
      <w:r>
        <w:rPr>
          <w:rFonts w:hint="eastAsia" w:ascii="仿宋_GB2312" w:eastAsia="仿宋_GB2312"/>
          <w:sz w:val="32"/>
          <w:szCs w:val="32"/>
        </w:rPr>
        <w:t>万元；工程采购预算0万元。</w:t>
      </w:r>
    </w:p>
    <w:p>
      <w:pPr>
        <w:widowControl/>
        <w:spacing w:line="600" w:lineRule="atLeast"/>
        <w:ind w:firstLine="662" w:firstLineChars="206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（五）国有资产占用使用及新增资产配置情况：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截至2020年12月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，本单位共有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公务用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车8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机要通信用车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0辆，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应急保障用车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0辆，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一般公务用车1辆，执法执勤用车7辆。单位价值50万元以上通用设备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台，单位价值100万元以上专用设备0台。2021年拟报废一辆公务用车，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新增公务用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车1辆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，无新增单位价值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50万以上通用设备和专用设备。</w:t>
      </w:r>
      <w:bookmarkStart w:id="0" w:name="_GoBack"/>
      <w:bookmarkEnd w:id="0"/>
    </w:p>
    <w:p>
      <w:pPr>
        <w:widowControl/>
        <w:spacing w:line="600" w:lineRule="atLeast"/>
        <w:ind w:firstLine="662" w:firstLineChars="206"/>
        <w:jc w:val="left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预算绩效目标说明：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本单位所有支出实行绩效目标管理。纳入2021年单位整体支出绩效目标的金额为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1791.83万元，其中，基本支出1744.83万元，项目支出47万元，具体绩效目标详见报表。</w:t>
      </w:r>
    </w:p>
    <w:p>
      <w:pPr>
        <w:widowControl/>
        <w:spacing w:line="600" w:lineRule="atLeast"/>
        <w:ind w:firstLine="662" w:firstLineChars="20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（七）</w:t>
      </w:r>
      <w:r>
        <w:rPr>
          <w:rFonts w:hint="eastAsia" w:ascii="仿宋_GB2312" w:eastAsia="仿宋_GB2312"/>
          <w:b/>
          <w:bCs/>
          <w:sz w:val="32"/>
          <w:szCs w:val="32"/>
        </w:rPr>
        <w:t>其他问题说明：</w:t>
      </w:r>
      <w:r>
        <w:rPr>
          <w:rFonts w:hint="eastAsia" w:ascii="仿宋_GB2312" w:eastAsia="仿宋_GB2312"/>
          <w:sz w:val="32"/>
          <w:szCs w:val="32"/>
        </w:rPr>
        <w:t>2021年新化县人民检察院无政府性基金预算支出、国有资本经营预算支出、财政专户管理资金预算支出和省级专项资金预算，所以表15、16、17、18、19、20、21无数据。</w:t>
      </w:r>
    </w:p>
    <w:p>
      <w:pPr>
        <w:widowControl/>
        <w:numPr>
          <w:ilvl w:val="0"/>
          <w:numId w:val="3"/>
        </w:numPr>
        <w:spacing w:line="600" w:lineRule="atLeast"/>
        <w:ind w:left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名词解释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支出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7398A"/>
    <w:multiLevelType w:val="singleLevel"/>
    <w:tmpl w:val="EA17398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DF447D"/>
    <w:multiLevelType w:val="multilevel"/>
    <w:tmpl w:val="32DF447D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CC5582A"/>
    <w:multiLevelType w:val="singleLevel"/>
    <w:tmpl w:val="6CC5582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4YjMzOWM5OGNkNjJmMTQ2MGY4MTBhMmFhYzdhODMifQ=="/>
  </w:docVars>
  <w:rsids>
    <w:rsidRoot w:val="00172A27"/>
    <w:rsid w:val="00046CCF"/>
    <w:rsid w:val="00095F89"/>
    <w:rsid w:val="000969A0"/>
    <w:rsid w:val="00124D62"/>
    <w:rsid w:val="00137403"/>
    <w:rsid w:val="00172A27"/>
    <w:rsid w:val="00264717"/>
    <w:rsid w:val="00267F28"/>
    <w:rsid w:val="00276330"/>
    <w:rsid w:val="00294735"/>
    <w:rsid w:val="002958D4"/>
    <w:rsid w:val="003278EA"/>
    <w:rsid w:val="00442222"/>
    <w:rsid w:val="004712AE"/>
    <w:rsid w:val="00482534"/>
    <w:rsid w:val="004C6408"/>
    <w:rsid w:val="004E0FA5"/>
    <w:rsid w:val="0050146A"/>
    <w:rsid w:val="00560C32"/>
    <w:rsid w:val="005776E3"/>
    <w:rsid w:val="005F0ED7"/>
    <w:rsid w:val="005F7C06"/>
    <w:rsid w:val="006C018D"/>
    <w:rsid w:val="006C4A5A"/>
    <w:rsid w:val="00731B7A"/>
    <w:rsid w:val="007564B2"/>
    <w:rsid w:val="007C63C0"/>
    <w:rsid w:val="0089587E"/>
    <w:rsid w:val="008B7300"/>
    <w:rsid w:val="008D4922"/>
    <w:rsid w:val="00A6168A"/>
    <w:rsid w:val="00A73568"/>
    <w:rsid w:val="00AA2C54"/>
    <w:rsid w:val="00B26010"/>
    <w:rsid w:val="00B34AC3"/>
    <w:rsid w:val="00B3596C"/>
    <w:rsid w:val="00C30100"/>
    <w:rsid w:val="00C320B9"/>
    <w:rsid w:val="00C46464"/>
    <w:rsid w:val="00CC1253"/>
    <w:rsid w:val="00CF605E"/>
    <w:rsid w:val="00CF66E2"/>
    <w:rsid w:val="00DE242E"/>
    <w:rsid w:val="00DE28DD"/>
    <w:rsid w:val="00FF02C6"/>
    <w:rsid w:val="03195788"/>
    <w:rsid w:val="04004C1C"/>
    <w:rsid w:val="05510DB5"/>
    <w:rsid w:val="05A5559C"/>
    <w:rsid w:val="068B4503"/>
    <w:rsid w:val="084B35B4"/>
    <w:rsid w:val="09445574"/>
    <w:rsid w:val="0A47328F"/>
    <w:rsid w:val="0BBF3EFE"/>
    <w:rsid w:val="0C6B1FA9"/>
    <w:rsid w:val="0F715ECE"/>
    <w:rsid w:val="115B2180"/>
    <w:rsid w:val="14075EAB"/>
    <w:rsid w:val="147A65BA"/>
    <w:rsid w:val="14F90C5B"/>
    <w:rsid w:val="15D41360"/>
    <w:rsid w:val="18BF29CD"/>
    <w:rsid w:val="19B80874"/>
    <w:rsid w:val="1A935EAF"/>
    <w:rsid w:val="1B0845EE"/>
    <w:rsid w:val="1C083AA3"/>
    <w:rsid w:val="1C613C7E"/>
    <w:rsid w:val="1C743A19"/>
    <w:rsid w:val="1F061311"/>
    <w:rsid w:val="1F0D0A41"/>
    <w:rsid w:val="1F6B19C0"/>
    <w:rsid w:val="229D5692"/>
    <w:rsid w:val="23356AAB"/>
    <w:rsid w:val="248D4246"/>
    <w:rsid w:val="25E628C8"/>
    <w:rsid w:val="26E77D47"/>
    <w:rsid w:val="289533C2"/>
    <w:rsid w:val="28F37C87"/>
    <w:rsid w:val="29FF3EEA"/>
    <w:rsid w:val="2CFA58F7"/>
    <w:rsid w:val="2EED57D2"/>
    <w:rsid w:val="314A57BE"/>
    <w:rsid w:val="32CF230F"/>
    <w:rsid w:val="32FA0641"/>
    <w:rsid w:val="36BE28F0"/>
    <w:rsid w:val="38FF2ADB"/>
    <w:rsid w:val="392E6064"/>
    <w:rsid w:val="3BC1506C"/>
    <w:rsid w:val="3D9F0761"/>
    <w:rsid w:val="3EE31532"/>
    <w:rsid w:val="42173DE8"/>
    <w:rsid w:val="43ED3B22"/>
    <w:rsid w:val="44D14273"/>
    <w:rsid w:val="45DB3075"/>
    <w:rsid w:val="45F004A7"/>
    <w:rsid w:val="4934562B"/>
    <w:rsid w:val="4B22539B"/>
    <w:rsid w:val="4BAB38AE"/>
    <w:rsid w:val="4C7A278B"/>
    <w:rsid w:val="4C8224DA"/>
    <w:rsid w:val="4D2D16B8"/>
    <w:rsid w:val="509A7651"/>
    <w:rsid w:val="50ED097F"/>
    <w:rsid w:val="50FB768A"/>
    <w:rsid w:val="52746B57"/>
    <w:rsid w:val="54A015B3"/>
    <w:rsid w:val="54DB7619"/>
    <w:rsid w:val="56436FA5"/>
    <w:rsid w:val="5F990B96"/>
    <w:rsid w:val="621B5236"/>
    <w:rsid w:val="64954CB0"/>
    <w:rsid w:val="649B58C1"/>
    <w:rsid w:val="6721095D"/>
    <w:rsid w:val="69DF7D29"/>
    <w:rsid w:val="69F85069"/>
    <w:rsid w:val="6B7A0C3E"/>
    <w:rsid w:val="6DE049D4"/>
    <w:rsid w:val="720F41BC"/>
    <w:rsid w:val="72453D3F"/>
    <w:rsid w:val="726E7AF1"/>
    <w:rsid w:val="74F13AA4"/>
    <w:rsid w:val="76354832"/>
    <w:rsid w:val="770C691F"/>
    <w:rsid w:val="77E75703"/>
    <w:rsid w:val="783E70C2"/>
    <w:rsid w:val="7C8D4D1E"/>
    <w:rsid w:val="7D1A7378"/>
    <w:rsid w:val="7D6F0198"/>
    <w:rsid w:val="7DE20E60"/>
    <w:rsid w:val="7DF9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8"/>
    <w:qFormat/>
    <w:uiPriority w:val="0"/>
    <w:rPr>
      <w:sz w:val="18"/>
      <w:szCs w:val="18"/>
    </w:rPr>
  </w:style>
  <w:style w:type="paragraph" w:styleId="3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555555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qFormat/>
    <w:uiPriority w:val="0"/>
  </w:style>
  <w:style w:type="character" w:styleId="13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7"/>
    <w:qFormat/>
    <w:uiPriority w:val="0"/>
  </w:style>
  <w:style w:type="character" w:styleId="15">
    <w:name w:val="HTML Variable"/>
    <w:basedOn w:val="7"/>
    <w:qFormat/>
    <w:uiPriority w:val="0"/>
  </w:style>
  <w:style w:type="character" w:styleId="16">
    <w:name w:val="Hyperlink"/>
    <w:basedOn w:val="7"/>
    <w:qFormat/>
    <w:uiPriority w:val="0"/>
    <w:rPr>
      <w:color w:val="555555"/>
      <w:u w:val="none"/>
    </w:rPr>
  </w:style>
  <w:style w:type="character" w:styleId="17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7"/>
    <w:qFormat/>
    <w:uiPriority w:val="0"/>
    <w:rPr>
      <w:color w:val="FF0000"/>
      <w:u w:val="single"/>
    </w:rPr>
  </w:style>
  <w:style w:type="character" w:styleId="19">
    <w:name w:val="HTML Keyboard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character" w:customStyle="1" w:styleId="21">
    <w:name w:val="bds_more2"/>
    <w:basedOn w:val="7"/>
    <w:qFormat/>
    <w:uiPriority w:val="0"/>
  </w:style>
  <w:style w:type="character" w:customStyle="1" w:styleId="22">
    <w:name w:val="bds_more1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3">
    <w:name w:val="right5"/>
    <w:basedOn w:val="7"/>
    <w:qFormat/>
    <w:uiPriority w:val="0"/>
  </w:style>
  <w:style w:type="character" w:customStyle="1" w:styleId="24">
    <w:name w:val="right6"/>
    <w:basedOn w:val="7"/>
    <w:qFormat/>
    <w:uiPriority w:val="0"/>
  </w:style>
  <w:style w:type="character" w:customStyle="1" w:styleId="25">
    <w:name w:val="bds_nopic2"/>
    <w:basedOn w:val="7"/>
    <w:qFormat/>
    <w:uiPriority w:val="0"/>
  </w:style>
  <w:style w:type="character" w:customStyle="1" w:styleId="26">
    <w:name w:val="bds_nopic1"/>
    <w:basedOn w:val="7"/>
    <w:qFormat/>
    <w:uiPriority w:val="0"/>
  </w:style>
  <w:style w:type="character" w:customStyle="1" w:styleId="27">
    <w:name w:val="retractmanager"/>
    <w:basedOn w:val="7"/>
    <w:qFormat/>
    <w:uiPriority w:val="0"/>
    <w:rPr>
      <w:color w:val="FF002A"/>
    </w:rPr>
  </w:style>
  <w:style w:type="character" w:customStyle="1" w:styleId="2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29">
    <w:name w:val="bds_more"/>
    <w:basedOn w:val="7"/>
    <w:qFormat/>
    <w:uiPriority w:val="0"/>
  </w:style>
  <w:style w:type="character" w:customStyle="1" w:styleId="30">
    <w:name w:val="displaycontent"/>
    <w:basedOn w:val="7"/>
    <w:qFormat/>
    <w:uiPriority w:val="0"/>
    <w:rPr>
      <w:color w:val="FF002A"/>
    </w:rPr>
  </w:style>
  <w:style w:type="character" w:customStyle="1" w:styleId="31">
    <w:name w:val="bds_nopic"/>
    <w:basedOn w:val="7"/>
    <w:qFormat/>
    <w:uiPriority w:val="0"/>
  </w:style>
  <w:style w:type="character" w:customStyle="1" w:styleId="32">
    <w:name w:val="mk5_wzstyle"/>
    <w:basedOn w:val="7"/>
    <w:qFormat/>
    <w:uiPriority w:val="0"/>
  </w:style>
  <w:style w:type="character" w:customStyle="1" w:styleId="33">
    <w:name w:val="hover17"/>
    <w:basedOn w:val="7"/>
    <w:qFormat/>
    <w:uiPriority w:val="0"/>
  </w:style>
  <w:style w:type="character" w:customStyle="1" w:styleId="34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35">
    <w:name w:val="size"/>
    <w:basedOn w:val="7"/>
    <w:qFormat/>
    <w:uiPriority w:val="0"/>
  </w:style>
  <w:style w:type="character" w:customStyle="1" w:styleId="36">
    <w:name w:val="p12_blue"/>
    <w:basedOn w:val="7"/>
    <w:qFormat/>
    <w:uiPriority w:val="0"/>
  </w:style>
  <w:style w:type="character" w:customStyle="1" w:styleId="37">
    <w:name w:val="bsharetext"/>
    <w:basedOn w:val="7"/>
    <w:qFormat/>
    <w:uiPriority w:val="0"/>
  </w:style>
  <w:style w:type="character" w:customStyle="1" w:styleId="38">
    <w:name w:val="页脚 Char"/>
    <w:link w:val="3"/>
    <w:qFormat/>
    <w:uiPriority w:val="0"/>
    <w:rPr>
      <w:kern w:val="2"/>
      <w:sz w:val="18"/>
      <w:szCs w:val="18"/>
    </w:rPr>
  </w:style>
  <w:style w:type="paragraph" w:customStyle="1" w:styleId="39">
    <w:name w:val="普通(网站)1"/>
    <w:basedOn w:val="1"/>
    <w:qFormat/>
    <w:uiPriority w:val="0"/>
    <w:pPr>
      <w:jc w:val="left"/>
    </w:pPr>
    <w:rPr>
      <w:rFonts w:hint="eastAsia"/>
      <w:sz w:val="24"/>
    </w:rPr>
  </w:style>
  <w:style w:type="paragraph" w:customStyle="1" w:styleId="40">
    <w:name w:val="Char"/>
    <w:basedOn w:val="1"/>
    <w:qFormat/>
    <w:uiPriority w:val="0"/>
    <w:pPr>
      <w:widowControl/>
      <w:spacing w:line="360" w:lineRule="auto"/>
      <w:jc w:val="left"/>
    </w:pPr>
  </w:style>
  <w:style w:type="paragraph" w:styleId="4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2581</Words>
  <Characters>2834</Characters>
  <Lines>20</Lines>
  <Paragraphs>5</Paragraphs>
  <TotalTime>6</TotalTime>
  <ScaleCrop>false</ScaleCrop>
  <LinksUpToDate>false</LinksUpToDate>
  <CharactersWithSpaces>2858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2021-03-09T02:24:00Z</dcterms:created>
  <dc:creator>高立朝 10.104.97.45</dc:creator>
  <cp:lastModifiedBy>Administrator</cp:lastModifiedBy>
  <cp:lastPrinted>2022-09-09T07:57:00Z</cp:lastPrinted>
  <dcterms:modified xsi:type="dcterms:W3CDTF">2022-09-23T09:41:09Z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4E30E4FEADCC44289AA1ADDCBB783AAF</vt:lpwstr>
  </property>
</Properties>
</file>