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spacing w:before="0" w:beforeAutospacing="0"/>
        <w:jc w:val="both"/>
        <w:rPr>
          <w:rFonts w:cs="宋体"/>
          <w:b/>
          <w:bCs/>
          <w:sz w:val="44"/>
          <w:szCs w:val="44"/>
          <w:shd w:val="clear" w:color="auto" w:fill="FFFFFF"/>
        </w:rPr>
      </w:pPr>
    </w:p>
    <w:p>
      <w:pPr>
        <w:pStyle w:val="14"/>
        <w:spacing w:before="0" w:beforeAutospacing="0"/>
        <w:jc w:val="center"/>
        <w:rPr>
          <w:rFonts w:cs="宋体"/>
          <w:b/>
          <w:bCs/>
          <w:sz w:val="44"/>
          <w:szCs w:val="44"/>
          <w:shd w:val="clear" w:color="auto" w:fill="FFFFFF"/>
        </w:rPr>
      </w:pPr>
    </w:p>
    <w:p>
      <w:pPr>
        <w:pStyle w:val="14"/>
        <w:spacing w:before="0" w:beforeAutospacing="0"/>
        <w:jc w:val="center"/>
        <w:rPr>
          <w:rFonts w:cs="宋体"/>
          <w:b/>
          <w:bCs/>
          <w:sz w:val="44"/>
          <w:szCs w:val="44"/>
          <w:shd w:val="clear" w:color="auto" w:fill="FFFFFF"/>
        </w:rPr>
      </w:pPr>
    </w:p>
    <w:p>
      <w:pPr>
        <w:pStyle w:val="14"/>
        <w:spacing w:before="0" w:beforeAutospacing="0"/>
        <w:jc w:val="center"/>
        <w:rPr>
          <w:rFonts w:ascii="方正小标宋_GBK" w:eastAsia="方正小标宋_GBK" w:cs="宋体"/>
          <w:b/>
          <w:bCs/>
          <w:sz w:val="44"/>
          <w:szCs w:val="44"/>
        </w:rPr>
      </w:pPr>
      <w:r>
        <w:rPr>
          <w:rFonts w:hint="eastAsia" w:ascii="方正小标宋_GBK" w:eastAsia="方正小标宋_GBK" w:cs="宋体"/>
          <w:b/>
          <w:bCs/>
          <w:sz w:val="44"/>
          <w:szCs w:val="44"/>
          <w:shd w:val="clear" w:color="auto" w:fill="FFFFFF"/>
        </w:rPr>
        <w:t>2020年度</w:t>
      </w:r>
    </w:p>
    <w:p>
      <w:pPr>
        <w:pStyle w:val="14"/>
        <w:spacing w:before="0" w:beforeAutospacing="0"/>
        <w:jc w:val="center"/>
        <w:rPr>
          <w:rFonts w:ascii="方正小标宋_GBK" w:eastAsia="方正小标宋_GBK"/>
          <w:shd w:val="clear" w:color="auto" w:fill="FFFFFF"/>
        </w:rPr>
      </w:pPr>
      <w:r>
        <w:rPr>
          <w:rFonts w:hint="eastAsia" w:ascii="方正小标宋_GBK" w:eastAsia="方正小标宋_GBK" w:cs="宋体"/>
          <w:b/>
          <w:bCs/>
          <w:sz w:val="44"/>
          <w:szCs w:val="44"/>
          <w:shd w:val="clear" w:color="auto" w:fill="FFFFFF"/>
        </w:rPr>
        <w:t>娄底市娄星区人民检察院部门决算</w:t>
      </w:r>
    </w:p>
    <w:p>
      <w:pPr>
        <w:pStyle w:val="14"/>
        <w:spacing w:before="0" w:beforeAutospacing="0"/>
        <w:jc w:val="center"/>
        <w:rPr>
          <w:shd w:val="clear" w:color="auto" w:fill="FFFFFF"/>
        </w:rPr>
      </w:pPr>
    </w:p>
    <w:p>
      <w:pPr>
        <w:pStyle w:val="14"/>
        <w:adjustRightInd w:val="0"/>
        <w:snapToGrid w:val="0"/>
        <w:spacing w:before="0" w:beforeAutospacing="0" w:line="580" w:lineRule="exact"/>
        <w:jc w:val="center"/>
        <w:rPr>
          <w:b/>
          <w:bCs/>
          <w:sz w:val="32"/>
          <w:szCs w:val="32"/>
          <w:shd w:val="clear" w:color="auto" w:fill="FFFFFF"/>
        </w:rPr>
      </w:pPr>
    </w:p>
    <w:p>
      <w:pPr>
        <w:pStyle w:val="14"/>
        <w:adjustRightInd w:val="0"/>
        <w:snapToGrid w:val="0"/>
        <w:spacing w:before="0" w:beforeAutospacing="0" w:line="580" w:lineRule="exact"/>
        <w:jc w:val="center"/>
        <w:rPr>
          <w:shd w:val="clear" w:color="auto" w:fill="FFFFFF"/>
        </w:rPr>
        <w:sectPr>
          <w:headerReference r:id="rId3" w:type="default"/>
          <w:pgSz w:w="11915" w:h="16851"/>
          <w:pgMar w:top="1440" w:right="1800" w:bottom="1440" w:left="1800" w:header="851" w:footer="992" w:gutter="0"/>
          <w:cols w:space="720" w:num="1"/>
          <w:docGrid w:type="lines" w:linePitch="312" w:charSpace="0"/>
        </w:sectPr>
      </w:pPr>
    </w:p>
    <w:p>
      <w:pPr>
        <w:pStyle w:val="31"/>
        <w:snapToGrid w:val="0"/>
        <w:spacing w:line="580" w:lineRule="exact"/>
        <w:jc w:val="center"/>
        <w:rPr>
          <w:sz w:val="36"/>
          <w:szCs w:val="28"/>
        </w:rPr>
      </w:pPr>
      <w:r>
        <w:rPr>
          <w:rFonts w:hint="eastAsia"/>
          <w:sz w:val="36"/>
          <w:szCs w:val="28"/>
        </w:rPr>
        <w:t>目录</w:t>
      </w:r>
    </w:p>
    <w:p>
      <w:pPr>
        <w:pStyle w:val="31"/>
        <w:snapToGrid w:val="0"/>
        <w:spacing w:line="580" w:lineRule="exact"/>
        <w:ind w:firstLine="560" w:firstLineChars="200"/>
        <w:rPr>
          <w:rFonts w:ascii="仿宋_GB2312" w:hAnsi="仿宋_GB2312" w:cs="仿宋_GB2312"/>
          <w:sz w:val="28"/>
          <w:szCs w:val="28"/>
        </w:rPr>
      </w:pPr>
      <w:r>
        <w:rPr>
          <w:rFonts w:hint="eastAsia"/>
          <w:sz w:val="28"/>
          <w:szCs w:val="28"/>
        </w:rPr>
        <w:t>第一部分娄底市娄星区人民检察院概况</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一、部门职责</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二、机构设置</w:t>
      </w:r>
    </w:p>
    <w:p>
      <w:pPr>
        <w:pStyle w:val="31"/>
        <w:snapToGrid w:val="0"/>
        <w:spacing w:line="580" w:lineRule="exact"/>
        <w:ind w:firstLine="560" w:firstLineChars="200"/>
        <w:rPr>
          <w:rFonts w:ascii="仿宋_GB2312" w:hAnsi="仿宋_GB2312" w:cs="仿宋_GB2312"/>
          <w:sz w:val="28"/>
          <w:szCs w:val="28"/>
        </w:rPr>
      </w:pPr>
      <w:r>
        <w:rPr>
          <w:rFonts w:hint="eastAsia" w:hAnsi="仿宋_GB2312"/>
          <w:sz w:val="28"/>
          <w:szCs w:val="28"/>
        </w:rPr>
        <w:t>第二部分</w:t>
      </w:r>
      <w:r>
        <w:rPr>
          <w:rFonts w:hAnsi="仿宋_GB2312"/>
          <w:sz w:val="28"/>
          <w:szCs w:val="28"/>
        </w:rPr>
        <w:t>20</w:t>
      </w:r>
      <w:r>
        <w:rPr>
          <w:rFonts w:hint="eastAsia" w:hAnsi="仿宋_GB2312"/>
          <w:sz w:val="28"/>
          <w:szCs w:val="28"/>
        </w:rPr>
        <w:t>20年度部门决算表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二、收入决算表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三、支出决算表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四、财政拨款收入支出决算总表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五、一般公共预算财政拨款支出决算表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六、一般公共预算财政拨款基本支出决算表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七、一般公共预算财政拨款“三公”经费支出决算表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八、政府性基金预算财政拨款收入支出决算表</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九、国有资本经营预算财政拨款支出决算表</w:t>
      </w:r>
    </w:p>
    <w:p>
      <w:pPr>
        <w:pStyle w:val="31"/>
        <w:snapToGrid w:val="0"/>
        <w:spacing w:line="580" w:lineRule="exact"/>
        <w:ind w:firstLine="560" w:firstLineChars="200"/>
        <w:rPr>
          <w:rFonts w:ascii="仿宋_GB2312" w:hAnsi="仿宋_GB2312" w:cs="仿宋_GB2312"/>
          <w:sz w:val="28"/>
          <w:szCs w:val="28"/>
        </w:rPr>
      </w:pPr>
      <w:r>
        <w:rPr>
          <w:rFonts w:hint="eastAsia" w:hAnsi="仿宋_GB2312"/>
          <w:sz w:val="28"/>
          <w:szCs w:val="28"/>
        </w:rPr>
        <w:t>第三部分</w:t>
      </w:r>
      <w:r>
        <w:rPr>
          <w:rFonts w:hAnsi="仿宋_GB2312"/>
          <w:sz w:val="28"/>
          <w:szCs w:val="28"/>
        </w:rPr>
        <w:t>20</w:t>
      </w:r>
      <w:r>
        <w:rPr>
          <w:rFonts w:hint="eastAsia" w:hAnsi="仿宋_GB2312"/>
          <w:sz w:val="28"/>
          <w:szCs w:val="28"/>
        </w:rPr>
        <w:t>20年度部门决算情况说明</w:t>
      </w:r>
    </w:p>
    <w:p>
      <w:pPr>
        <w:pStyle w:val="31"/>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一、收入支出决算总体情况说明</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四、财政拨款收入支出决算总体情况说明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五、一般公共预算财政拨款支出决算情况说明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六、一般公共预算财政拨款基本支出决算情况说明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七、一般公共预算财政拨款三公经费支出决算情况说明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八、政府性基金预算收入支出决算情况</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九、关于机关运行经费支出说明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十、一般性支出情况</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十一、关于政府采购支出说明</w:t>
      </w:r>
    </w:p>
    <w:p>
      <w:pPr>
        <w:pStyle w:val="31"/>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31"/>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十三、关</w:t>
      </w:r>
      <w:r>
        <w:rPr>
          <w:rFonts w:hint="eastAsia" w:ascii="仿宋_GB2312" w:eastAsia="仿宋_GB2312" w:cs="仿宋_GB2312" w:hAnsiTheme="minorEastAsia"/>
          <w:sz w:val="28"/>
          <w:szCs w:val="28"/>
        </w:rPr>
        <w:t>于2020年</w:t>
      </w:r>
      <w:r>
        <w:rPr>
          <w:rFonts w:hint="eastAsia" w:ascii="仿宋_GB2312" w:hAnsi="仿宋_GB2312" w:eastAsia="仿宋_GB2312" w:cs="仿宋_GB2312"/>
          <w:sz w:val="28"/>
          <w:szCs w:val="28"/>
        </w:rPr>
        <w:t>度预算绩效情况的说明</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ascii="黑体" w:hAnsi="黑体" w:eastAsia="黑体" w:cs="黑体"/>
          <w:color w:val="000000"/>
          <w:sz w:val="28"/>
          <w:szCs w:val="28"/>
        </w:rPr>
        <w:t>第四部分名词解释</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第五部分附件</w:t>
      </w:r>
    </w:p>
    <w:p>
      <w:pPr>
        <w:pStyle w:val="14"/>
        <w:spacing w:before="0" w:beforeAutospacing="0"/>
        <w:jc w:val="center"/>
        <w:rPr>
          <w:shd w:val="clear" w:color="auto" w:fill="FFFFFF"/>
        </w:rPr>
      </w:pPr>
    </w:p>
    <w:p>
      <w:pPr>
        <w:pStyle w:val="14"/>
        <w:spacing w:before="0" w:beforeAutospacing="0"/>
        <w:jc w:val="center"/>
        <w:rPr>
          <w:shd w:val="clear" w:color="auto" w:fill="FFFFFF"/>
        </w:rPr>
        <w:sectPr>
          <w:footerReference r:id="rId4" w:type="default"/>
          <w:pgSz w:w="11915" w:h="16851"/>
          <w:pgMar w:top="1440" w:right="1800" w:bottom="1440" w:left="1800" w:header="851" w:footer="992" w:gutter="0"/>
          <w:pgNumType w:start="1"/>
          <w:cols w:space="720" w:num="1"/>
          <w:docGrid w:type="lines" w:linePitch="312" w:charSpace="0"/>
        </w:sectPr>
      </w:pPr>
    </w:p>
    <w:p>
      <w:pPr>
        <w:pStyle w:val="14"/>
        <w:adjustRightInd w:val="0"/>
        <w:snapToGrid w:val="0"/>
        <w:spacing w:before="0" w:beforeAutospacing="0" w:after="0" w:afterAutospacing="0" w:line="560" w:lineRule="exact"/>
        <w:jc w:val="center"/>
        <w:outlineLvl w:val="0"/>
        <w:rPr>
          <w:rFonts w:hint="eastAsia" w:ascii="方正小标宋_GBK" w:hAnsi="黑体" w:eastAsia="方正小标宋_GBK" w:cs="黑体"/>
          <w:sz w:val="44"/>
          <w:szCs w:val="44"/>
          <w:shd w:val="clear" w:color="auto" w:fill="FFFFFF"/>
        </w:rPr>
      </w:pPr>
      <w:bookmarkStart w:id="0" w:name="_Toc6365"/>
      <w:r>
        <w:rPr>
          <w:rFonts w:hint="eastAsia" w:ascii="方正小标宋_GBK" w:hAnsi="黑体" w:eastAsia="方正小标宋_GBK" w:cs="黑体"/>
          <w:sz w:val="44"/>
          <w:szCs w:val="44"/>
          <w:shd w:val="clear" w:color="auto" w:fill="FFFFFF"/>
        </w:rPr>
        <w:t>第一部分娄底市娄星区人民检察院概况</w:t>
      </w:r>
      <w:bookmarkEnd w:id="0"/>
    </w:p>
    <w:p>
      <w:pPr>
        <w:pStyle w:val="14"/>
        <w:adjustRightInd w:val="0"/>
        <w:snapToGrid w:val="0"/>
        <w:spacing w:before="0" w:beforeAutospacing="0" w:after="0" w:afterAutospacing="0" w:line="560" w:lineRule="exact"/>
        <w:jc w:val="center"/>
        <w:outlineLvl w:val="0"/>
        <w:rPr>
          <w:rFonts w:hint="eastAsia" w:ascii="方正小标宋_GBK" w:hAnsi="黑体" w:eastAsia="方正小标宋_GBK" w:cs="黑体"/>
          <w:sz w:val="44"/>
          <w:szCs w:val="44"/>
          <w:shd w:val="clear" w:color="auto" w:fill="FFFFFF"/>
        </w:rPr>
      </w:pPr>
    </w:p>
    <w:p>
      <w:pPr>
        <w:pStyle w:val="14"/>
        <w:adjustRightInd w:val="0"/>
        <w:snapToGrid w:val="0"/>
        <w:spacing w:before="0" w:beforeAutospacing="0" w:after="0" w:afterAutospacing="0" w:line="560" w:lineRule="exact"/>
        <w:ind w:left="480" w:leftChars="200"/>
        <w:outlineLvl w:val="1"/>
        <w:rPr>
          <w:rFonts w:ascii="黑体" w:hAnsi="黑体" w:eastAsia="黑体" w:cs="楷体"/>
          <w:b/>
          <w:bCs/>
          <w:sz w:val="32"/>
          <w:szCs w:val="32"/>
          <w:shd w:val="clear" w:color="auto" w:fill="FFFFFF"/>
        </w:rPr>
      </w:pPr>
      <w:bookmarkStart w:id="1" w:name="_Toc26770"/>
      <w:bookmarkStart w:id="2" w:name="_Toc4526"/>
      <w:r>
        <w:rPr>
          <w:rFonts w:hint="eastAsia" w:ascii="楷体_GB2312" w:hAnsi="楷体" w:eastAsia="楷体_GB2312" w:cs="楷体"/>
          <w:sz w:val="32"/>
          <w:szCs w:val="32"/>
          <w:shd w:val="clear" w:color="auto" w:fill="FFFFFF"/>
        </w:rPr>
        <w:t xml:space="preserve">  </w:t>
      </w:r>
      <w:r>
        <w:rPr>
          <w:rFonts w:hint="eastAsia" w:ascii="黑体" w:hAnsi="黑体" w:eastAsia="黑体" w:cs="楷体"/>
          <w:sz w:val="32"/>
          <w:szCs w:val="32"/>
          <w:shd w:val="clear" w:color="auto" w:fill="FFFFFF"/>
        </w:rPr>
        <w:t>一、部门职责</w:t>
      </w:r>
      <w:bookmarkEnd w:id="1"/>
      <w:bookmarkEnd w:id="2"/>
    </w:p>
    <w:p>
      <w:pPr>
        <w:ind w:firstLine="630"/>
        <w:rPr>
          <w:rFonts w:ascii="仿宋_GB2312" w:eastAsia="仿宋_GB2312"/>
          <w:sz w:val="32"/>
          <w:szCs w:val="32"/>
        </w:rPr>
      </w:pPr>
      <w:bookmarkStart w:id="3" w:name="_Toc647"/>
      <w:bookmarkStart w:id="4" w:name="_Toc27540"/>
      <w:r>
        <w:rPr>
          <w:rFonts w:hint="eastAsia" w:ascii="仿宋_GB2312" w:eastAsia="仿宋_GB2312"/>
          <w:sz w:val="32"/>
          <w:szCs w:val="32"/>
        </w:rPr>
        <w:t>娄底市娄星区人民检察院是国家的法律监督机关，接受上级人民检察院的领导，对区人民代表大会及其常务委员会负责并报告工作。其主要职责是：</w:t>
      </w:r>
    </w:p>
    <w:p>
      <w:pPr>
        <w:ind w:firstLine="630"/>
        <w:rPr>
          <w:rFonts w:ascii="仿宋_GB2312" w:eastAsia="仿宋_GB2312"/>
          <w:sz w:val="32"/>
          <w:szCs w:val="32"/>
        </w:rPr>
      </w:pPr>
      <w:r>
        <w:rPr>
          <w:rFonts w:hint="eastAsia" w:ascii="仿宋_GB2312" w:eastAsia="仿宋_GB2312"/>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p>
    <w:p>
      <w:pPr>
        <w:rPr>
          <w:rFonts w:ascii="仿宋_GB2312" w:eastAsia="仿宋_GB2312"/>
          <w:sz w:val="32"/>
          <w:szCs w:val="32"/>
        </w:rPr>
      </w:pPr>
      <w:r>
        <w:rPr>
          <w:rFonts w:hint="eastAsia" w:ascii="仿宋_GB2312" w:eastAsia="仿宋_GB2312"/>
          <w:sz w:val="32"/>
          <w:szCs w:val="32"/>
        </w:rPr>
        <w:t xml:space="preserve">    （二）贯彻落实上级人民检察院的各项工作部署，研究制定检察工作规划，部署检察工作任务。</w:t>
      </w:r>
    </w:p>
    <w:p>
      <w:pPr>
        <w:rPr>
          <w:rFonts w:ascii="仿宋_GB2312" w:eastAsia="仿宋_GB2312"/>
          <w:sz w:val="32"/>
          <w:szCs w:val="32"/>
        </w:rPr>
      </w:pPr>
      <w:r>
        <w:rPr>
          <w:rFonts w:hint="eastAsia" w:ascii="仿宋_GB2312" w:eastAsia="仿宋_GB2312"/>
          <w:sz w:val="32"/>
          <w:szCs w:val="32"/>
        </w:rPr>
        <w:t xml:space="preserve">    （三）依照法律规定对由区人民检察院直接受理的刑事案件行使侦查权。</w:t>
      </w:r>
    </w:p>
    <w:p>
      <w:pPr>
        <w:rPr>
          <w:rFonts w:ascii="仿宋_GB2312" w:eastAsia="仿宋_GB2312"/>
          <w:sz w:val="32"/>
          <w:szCs w:val="32"/>
        </w:rPr>
      </w:pPr>
      <w:r>
        <w:rPr>
          <w:rFonts w:hint="eastAsia" w:ascii="仿宋_GB2312" w:eastAsia="仿宋_GB2312"/>
          <w:sz w:val="32"/>
          <w:szCs w:val="32"/>
        </w:rPr>
        <w:t xml:space="preserve">     (四）对刑事案件依法审查批准逮捕、决定逮捕、提起公诉。</w:t>
      </w:r>
    </w:p>
    <w:p>
      <w:pPr>
        <w:rPr>
          <w:rFonts w:ascii="仿宋_GB2312" w:eastAsia="仿宋_GB2312"/>
          <w:sz w:val="32"/>
          <w:szCs w:val="32"/>
        </w:rPr>
      </w:pPr>
      <w:r>
        <w:rPr>
          <w:rFonts w:hint="eastAsia" w:ascii="仿宋_GB2312" w:eastAsia="仿宋_GB2312"/>
          <w:sz w:val="32"/>
          <w:szCs w:val="32"/>
        </w:rPr>
        <w:t xml:space="preserve">    （五）负责应由区人民检察院承办的刑事、民事、行政诉讼活动及刑事、民事、行政判决和裁定等生效法律文书执行的法律监督工作。</w:t>
      </w:r>
    </w:p>
    <w:p>
      <w:pPr>
        <w:ind w:firstLine="630"/>
        <w:rPr>
          <w:rFonts w:ascii="仿宋_GB2312" w:eastAsia="仿宋_GB2312"/>
          <w:sz w:val="32"/>
          <w:szCs w:val="32"/>
        </w:rPr>
      </w:pPr>
      <w:r>
        <w:rPr>
          <w:rFonts w:hint="eastAsia" w:ascii="仿宋_GB2312" w:eastAsia="仿宋_GB2312"/>
          <w:sz w:val="32"/>
          <w:szCs w:val="32"/>
        </w:rPr>
        <w:t>（六）负责应由区人民检察院承办的提起公益诉讼工作。</w:t>
      </w:r>
    </w:p>
    <w:p>
      <w:pPr>
        <w:ind w:firstLine="630"/>
        <w:rPr>
          <w:rFonts w:ascii="仿宋_GB2312" w:eastAsia="仿宋_GB2312"/>
          <w:sz w:val="32"/>
          <w:szCs w:val="32"/>
        </w:rPr>
      </w:pPr>
      <w:r>
        <w:rPr>
          <w:rFonts w:hint="eastAsia" w:ascii="仿宋_GB2312" w:eastAsia="仿宋_GB2312"/>
          <w:sz w:val="32"/>
          <w:szCs w:val="32"/>
        </w:rPr>
        <w:t>（七）负责应由区人民检察院承办的对看守所、社区矫正机构等执法活动的法律监督工作。</w:t>
      </w:r>
    </w:p>
    <w:p>
      <w:pPr>
        <w:rPr>
          <w:rFonts w:ascii="仿宋_GB2312" w:eastAsia="仿宋_GB2312"/>
          <w:sz w:val="32"/>
          <w:szCs w:val="32"/>
        </w:rPr>
      </w:pPr>
      <w:r>
        <w:rPr>
          <w:rFonts w:hint="eastAsia" w:ascii="仿宋_GB2312" w:eastAsia="仿宋_GB2312"/>
          <w:sz w:val="32"/>
          <w:szCs w:val="32"/>
        </w:rPr>
        <w:t xml:space="preserve">    （八）受理向区人民检察院的控告申诉。</w:t>
      </w:r>
    </w:p>
    <w:p>
      <w:pPr>
        <w:rPr>
          <w:rFonts w:ascii="仿宋_GB2312" w:eastAsia="仿宋_GB2312"/>
          <w:sz w:val="32"/>
          <w:szCs w:val="32"/>
        </w:rPr>
      </w:pPr>
      <w:r>
        <w:rPr>
          <w:rFonts w:hint="eastAsia" w:ascii="仿宋_GB2312" w:eastAsia="仿宋_GB2312"/>
          <w:sz w:val="32"/>
          <w:szCs w:val="32"/>
        </w:rPr>
        <w:t xml:space="preserve">    （九）负责检察机关的理论研究工作。</w:t>
      </w:r>
    </w:p>
    <w:p>
      <w:pPr>
        <w:rPr>
          <w:rFonts w:ascii="仿宋_GB2312" w:eastAsia="仿宋_GB2312"/>
          <w:sz w:val="32"/>
          <w:szCs w:val="32"/>
        </w:rPr>
      </w:pPr>
      <w:r>
        <w:rPr>
          <w:rFonts w:hint="eastAsia" w:ascii="仿宋_GB2312" w:eastAsia="仿宋_GB2312"/>
          <w:sz w:val="32"/>
          <w:szCs w:val="32"/>
        </w:rPr>
        <w:t xml:space="preserve">    （十）负责检察机关队伍建设和思想政治工作。</w:t>
      </w:r>
    </w:p>
    <w:p>
      <w:pPr>
        <w:ind w:firstLine="630"/>
        <w:rPr>
          <w:rFonts w:ascii="仿宋_GB2312" w:eastAsia="仿宋_GB2312"/>
          <w:sz w:val="32"/>
          <w:szCs w:val="32"/>
        </w:rPr>
      </w:pPr>
      <w:r>
        <w:rPr>
          <w:rFonts w:hint="eastAsia" w:ascii="仿宋_GB2312" w:eastAsia="仿宋_GB2312"/>
          <w:sz w:val="32"/>
          <w:szCs w:val="32"/>
        </w:rPr>
        <w:t>（十一）负责检务督察工作。</w:t>
      </w:r>
    </w:p>
    <w:p>
      <w:pPr>
        <w:ind w:firstLine="630"/>
        <w:rPr>
          <w:rFonts w:ascii="仿宋_GB2312" w:eastAsia="仿宋_GB2312"/>
          <w:sz w:val="32"/>
          <w:szCs w:val="32"/>
        </w:rPr>
      </w:pPr>
      <w:r>
        <w:rPr>
          <w:rFonts w:hint="eastAsia" w:ascii="仿宋_GB2312" w:eastAsia="仿宋_GB2312"/>
          <w:sz w:val="32"/>
          <w:szCs w:val="32"/>
        </w:rPr>
        <w:t>（十二）负责检察机关财物装备和检察技术信息工作。</w:t>
      </w:r>
    </w:p>
    <w:p>
      <w:pPr>
        <w:ind w:firstLine="630"/>
        <w:rPr>
          <w:rFonts w:ascii="仿宋_GB2312" w:eastAsia="仿宋_GB2312"/>
          <w:sz w:val="32"/>
          <w:szCs w:val="32"/>
        </w:rPr>
      </w:pPr>
      <w:r>
        <w:rPr>
          <w:rFonts w:hint="eastAsia" w:ascii="仿宋_GB2312" w:eastAsia="仿宋_GB2312"/>
          <w:sz w:val="32"/>
          <w:szCs w:val="32"/>
        </w:rPr>
        <w:t>（十三）负责其他应当由区人民检察院承办的事项。</w:t>
      </w:r>
    </w:p>
    <w:p>
      <w:pPr>
        <w:pStyle w:val="14"/>
        <w:adjustRightInd w:val="0"/>
        <w:snapToGrid w:val="0"/>
        <w:spacing w:before="0" w:beforeAutospacing="0" w:after="0" w:afterAutospacing="0" w:line="560" w:lineRule="exact"/>
        <w:ind w:firstLine="640" w:firstLineChars="200"/>
        <w:outlineLvl w:val="1"/>
        <w:rPr>
          <w:rFonts w:ascii="黑体" w:hAnsi="黑体" w:eastAsia="黑体" w:cs="黑体"/>
          <w:sz w:val="32"/>
          <w:szCs w:val="32"/>
        </w:rPr>
      </w:pPr>
      <w:r>
        <w:rPr>
          <w:rFonts w:hint="eastAsia" w:ascii="黑体" w:hAnsi="黑体" w:eastAsia="黑体" w:cs="楷体"/>
          <w:sz w:val="32"/>
          <w:szCs w:val="32"/>
          <w:shd w:val="clear" w:color="auto" w:fill="FFFFFF"/>
        </w:rPr>
        <w:t>二、机构设置</w:t>
      </w:r>
      <w:bookmarkEnd w:id="3"/>
      <w:bookmarkEnd w:id="4"/>
    </w:p>
    <w:p>
      <w:pPr>
        <w:adjustRightInd w:val="0"/>
        <w:snapToGrid w:val="0"/>
        <w:spacing w:line="560" w:lineRule="exact"/>
        <w:ind w:firstLine="640" w:firstLineChars="200"/>
        <w:rPr>
          <w:rFonts w:ascii="仿宋_GB2312" w:hAnsi="楷体" w:eastAsia="仿宋_GB2312" w:cs="楷体"/>
          <w:sz w:val="32"/>
          <w:szCs w:val="32"/>
          <w:shd w:val="clear" w:color="auto" w:fill="FFFFFF"/>
        </w:rPr>
      </w:pPr>
      <w:r>
        <w:rPr>
          <w:rFonts w:hint="eastAsia" w:ascii="仿宋_GB2312" w:hAnsi="楷体" w:eastAsia="仿宋_GB2312" w:cs="楷体"/>
          <w:sz w:val="32"/>
          <w:szCs w:val="32"/>
          <w:shd w:val="clear" w:color="auto" w:fill="FFFFFF"/>
        </w:rPr>
        <w:t>（一）内设机构设置。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娄底市娄星区人民检察院内设第一检察部、第二检察部、第三检察部、第四检察部、第五检察部、第六检察部、办公室、政治部，共</w:t>
      </w:r>
      <w:r>
        <w:rPr>
          <w:rFonts w:ascii="仿宋_GB2312" w:eastAsia="仿宋_GB2312"/>
          <w:sz w:val="32"/>
          <w:szCs w:val="32"/>
        </w:rPr>
        <w:t>8</w:t>
      </w:r>
      <w:r>
        <w:rPr>
          <w:rFonts w:hint="eastAsia" w:ascii="仿宋_GB2312" w:eastAsia="仿宋_GB2312"/>
          <w:sz w:val="32"/>
          <w:szCs w:val="32"/>
        </w:rPr>
        <w:t>个内设部门。</w:t>
      </w:r>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仿宋_GB2312" w:hAnsi="楷体" w:eastAsia="仿宋_GB2312" w:cs="楷体"/>
          <w:sz w:val="32"/>
          <w:szCs w:val="32"/>
          <w:shd w:val="clear" w:color="auto" w:fill="FFFFFF"/>
        </w:rPr>
        <w:t>（二）决算单位构成</w:t>
      </w:r>
      <w:r>
        <w:rPr>
          <w:rFonts w:hint="eastAsia" w:ascii="楷体_GB2312" w:hAnsi="楷体" w:eastAsia="楷体_GB2312" w:cs="楷体"/>
          <w:sz w:val="32"/>
          <w:szCs w:val="32"/>
          <w:shd w:val="clear" w:color="auto" w:fill="FFFFFF"/>
        </w:rPr>
        <w:t>。</w:t>
      </w:r>
    </w:p>
    <w:p>
      <w:pPr>
        <w:adjustRightInd w:val="0"/>
        <w:snapToGrid w:val="0"/>
        <w:spacing w:line="560" w:lineRule="exact"/>
        <w:ind w:firstLine="640" w:firstLineChars="200"/>
        <w:rPr>
          <w:rStyle w:val="17"/>
          <w:shd w:val="clear" w:color="auto" w:fill="FFFFFF"/>
        </w:rPr>
      </w:pPr>
      <w:r>
        <w:rPr>
          <w:rFonts w:hint="eastAsia" w:ascii="仿宋_GB2312" w:eastAsia="仿宋_GB2312"/>
          <w:sz w:val="32"/>
          <w:szCs w:val="32"/>
        </w:rPr>
        <w:t>娄底市娄星区人民检察院2020年部门决算包含的主体范围是机关本级。</w:t>
      </w:r>
    </w:p>
    <w:p>
      <w:pPr>
        <w:rPr>
          <w:rStyle w:val="17"/>
          <w:rFonts w:hint="default" w:ascii="黑体" w:hAnsi="黑体" w:eastAsia="黑体" w:cs="黑体"/>
          <w:sz w:val="44"/>
          <w:szCs w:val="44"/>
          <w:shd w:val="clear" w:color="auto" w:fill="FFFFFF"/>
          <w:lang w:val="en-US" w:eastAsia="zh-CN"/>
        </w:rPr>
      </w:pPr>
      <w:bookmarkStart w:id="5" w:name="_Toc30556"/>
      <w:r>
        <w:rPr>
          <w:rStyle w:val="17"/>
          <w:rFonts w:ascii="黑体" w:hAnsi="黑体" w:eastAsia="黑体" w:cs="黑体"/>
          <w:sz w:val="44"/>
          <w:szCs w:val="44"/>
          <w:shd w:val="clear" w:color="auto" w:fill="FFFFFF"/>
        </w:rPr>
        <w:br w:type="page"/>
      </w:r>
      <w:r>
        <w:rPr>
          <w:rStyle w:val="17"/>
          <w:rFonts w:hint="eastAsia" w:ascii="黑体" w:hAnsi="黑体" w:eastAsia="黑体" w:cs="黑体"/>
          <w:sz w:val="44"/>
          <w:szCs w:val="44"/>
          <w:shd w:val="clear" w:color="auto" w:fill="FFFFFF"/>
          <w:lang w:val="en-US" w:eastAsia="zh-CN"/>
        </w:rPr>
        <w:t xml:space="preserve">                                                </w:t>
      </w:r>
    </w:p>
    <w:p>
      <w:pPr>
        <w:pStyle w:val="14"/>
        <w:spacing w:before="0" w:beforeAutospacing="0" w:line="600" w:lineRule="exact"/>
        <w:jc w:val="center"/>
        <w:outlineLvl w:val="0"/>
        <w:rPr>
          <w:rStyle w:val="17"/>
          <w:rFonts w:ascii="方正小标宋_GBK" w:hAnsi="黑体" w:eastAsia="方正小标宋_GBK" w:cs="黑体"/>
          <w:sz w:val="44"/>
          <w:szCs w:val="44"/>
          <w:shd w:val="clear" w:color="auto" w:fill="FFFFFF"/>
        </w:rPr>
      </w:pPr>
      <w:r>
        <w:rPr>
          <w:rStyle w:val="17"/>
          <w:rFonts w:hint="eastAsia" w:ascii="方正小标宋_GBK" w:hAnsi="黑体" w:eastAsia="方正小标宋_GBK" w:cs="黑体"/>
          <w:sz w:val="44"/>
          <w:szCs w:val="44"/>
          <w:shd w:val="clear" w:color="auto" w:fill="FFFFFF"/>
        </w:rPr>
        <w:t>第二部分 2020年度部门决算表</w:t>
      </w:r>
      <w:bookmarkEnd w:id="5"/>
      <w:bookmarkStart w:id="6" w:name="_Toc5134"/>
    </w:p>
    <w:bookmarkEnd w:id="6"/>
    <w:p>
      <w:pPr>
        <w:pStyle w:val="14"/>
        <w:numPr>
          <w:ilvl w:val="0"/>
          <w:numId w:val="1"/>
        </w:numPr>
        <w:spacing w:before="0" w:beforeAutospacing="0" w:line="600" w:lineRule="exact"/>
        <w:ind w:left="629" w:hanging="629"/>
        <w:outlineLvl w:val="0"/>
        <w:rPr>
          <w:rFonts w:ascii="黑体" w:hAnsi="黑体" w:eastAsia="黑体" w:cs="楷体"/>
          <w:sz w:val="20"/>
          <w:szCs w:val="20"/>
          <w:shd w:val="clear" w:color="auto" w:fill="FFFFFF"/>
        </w:rPr>
      </w:pPr>
      <w:r>
        <w:rPr>
          <w:rFonts w:hint="eastAsia" w:ascii="黑体" w:hAnsi="黑体" w:eastAsia="黑体" w:cs="楷体"/>
          <w:sz w:val="32"/>
          <w:szCs w:val="32"/>
          <w:shd w:val="clear" w:color="auto" w:fill="FFFFFF"/>
        </w:rPr>
        <w:t>收入支出决算总表</w:t>
      </w:r>
    </w:p>
    <w:p>
      <w:pPr>
        <w:pStyle w:val="14"/>
        <w:spacing w:before="0" w:beforeAutospacing="0" w:line="240" w:lineRule="exact"/>
        <w:ind w:left="631" w:leftChars="263" w:firstLine="6100" w:firstLineChars="3050"/>
        <w:outlineLvl w:val="0"/>
        <w:rPr>
          <w:rFonts w:ascii="楷体_GB2312" w:hAnsi="楷体" w:eastAsia="楷体_GB2312" w:cs="楷体"/>
          <w:sz w:val="20"/>
          <w:szCs w:val="20"/>
          <w:shd w:val="clear" w:color="auto" w:fill="FFFFFF"/>
        </w:rPr>
      </w:pPr>
      <w:r>
        <w:rPr>
          <w:rFonts w:hint="eastAsia" w:ascii="楷体_GB2312" w:hAnsi="楷体" w:eastAsia="楷体_GB2312" w:cs="楷体"/>
          <w:sz w:val="20"/>
          <w:szCs w:val="20"/>
          <w:shd w:val="clear" w:color="auto" w:fill="FFFFFF"/>
        </w:rPr>
        <w:t>公开01表</w:t>
      </w:r>
    </w:p>
    <w:tbl>
      <w:tblPr>
        <w:tblStyle w:val="15"/>
        <w:tblW w:w="8506" w:type="dxa"/>
        <w:tblInd w:w="-34" w:type="dxa"/>
        <w:tblLayout w:type="autofit"/>
        <w:tblCellMar>
          <w:top w:w="0" w:type="dxa"/>
          <w:left w:w="108" w:type="dxa"/>
          <w:bottom w:w="0" w:type="dxa"/>
          <w:right w:w="108" w:type="dxa"/>
        </w:tblCellMar>
      </w:tblPr>
      <w:tblGrid>
        <w:gridCol w:w="2258"/>
        <w:gridCol w:w="416"/>
        <w:gridCol w:w="983"/>
        <w:gridCol w:w="215"/>
        <w:gridCol w:w="1852"/>
        <w:gridCol w:w="1202"/>
        <w:gridCol w:w="446"/>
        <w:gridCol w:w="1134"/>
      </w:tblGrid>
      <w:tr>
        <w:tblPrEx>
          <w:tblCellMar>
            <w:top w:w="0" w:type="dxa"/>
            <w:left w:w="108" w:type="dxa"/>
            <w:bottom w:w="0" w:type="dxa"/>
            <w:right w:w="108" w:type="dxa"/>
          </w:tblCellMar>
        </w:tblPrEx>
        <w:trPr>
          <w:trHeight w:val="131" w:hRule="atLeast"/>
        </w:trPr>
        <w:tc>
          <w:tcPr>
            <w:tcW w:w="3657" w:type="dxa"/>
            <w:gridSpan w:val="3"/>
            <w:tcBorders>
              <w:top w:val="nil"/>
              <w:left w:val="nil"/>
              <w:bottom w:val="single" w:color="808080" w:sz="4" w:space="0"/>
              <w:right w:val="nil"/>
            </w:tcBorders>
            <w:shd w:val="clear" w:color="000000" w:fill="FFFFFF"/>
            <w:noWrap/>
          </w:tcPr>
          <w:p>
            <w:pPr>
              <w:adjustRightInd w:val="0"/>
              <w:snapToGrid w:val="0"/>
              <w:spacing w:line="240" w:lineRule="exact"/>
              <w:ind w:right="-1090" w:rightChars="-454"/>
              <w:jc w:val="both"/>
              <w:rPr>
                <w:rFonts w:cs="Arial"/>
                <w:color w:val="000000"/>
                <w:sz w:val="20"/>
                <w:szCs w:val="20"/>
              </w:rPr>
            </w:pPr>
            <w:r>
              <w:rPr>
                <w:rFonts w:hint="eastAsia" w:cs="Arial"/>
                <w:color w:val="000000"/>
                <w:sz w:val="20"/>
                <w:szCs w:val="20"/>
              </w:rPr>
              <w:t>部门：娄底市娄星区人民检察院</w:t>
            </w:r>
          </w:p>
        </w:tc>
        <w:tc>
          <w:tcPr>
            <w:tcW w:w="2067" w:type="dxa"/>
            <w:gridSpan w:val="2"/>
            <w:tcBorders>
              <w:top w:val="nil"/>
              <w:left w:val="nil"/>
              <w:bottom w:val="nil"/>
              <w:right w:val="nil"/>
            </w:tcBorders>
            <w:shd w:val="clear" w:color="auto" w:fill="auto"/>
            <w:noWrap/>
            <w:vAlign w:val="bottom"/>
          </w:tcPr>
          <w:p>
            <w:pPr>
              <w:adjustRightInd w:val="0"/>
              <w:snapToGrid w:val="0"/>
              <w:spacing w:line="240" w:lineRule="exact"/>
              <w:rPr>
                <w:rFonts w:ascii="Arial" w:hAnsi="Arial" w:cs="Arial"/>
                <w:sz w:val="20"/>
                <w:szCs w:val="20"/>
              </w:rPr>
            </w:pPr>
            <w:r>
              <w:rPr>
                <w:rFonts w:hint="eastAsia" w:ascii="Arial" w:hAnsi="Arial" w:cs="Arial"/>
                <w:sz w:val="20"/>
                <w:szCs w:val="20"/>
              </w:rPr>
              <w:t xml:space="preserve">        2020年度</w:t>
            </w:r>
          </w:p>
        </w:tc>
        <w:tc>
          <w:tcPr>
            <w:tcW w:w="2782" w:type="dxa"/>
            <w:gridSpan w:val="3"/>
            <w:tcBorders>
              <w:top w:val="nil"/>
              <w:left w:val="nil"/>
              <w:bottom w:val="single" w:color="auto" w:sz="4" w:space="0"/>
            </w:tcBorders>
            <w:shd w:val="clear" w:color="000000" w:fill="FFFFFF"/>
            <w:noWrap/>
          </w:tcPr>
          <w:p>
            <w:pPr>
              <w:tabs>
                <w:tab w:val="left" w:pos="641"/>
                <w:tab w:val="left" w:pos="723"/>
                <w:tab w:val="left" w:pos="1423"/>
                <w:tab w:val="left" w:pos="1573"/>
              </w:tabs>
              <w:adjustRightInd w:val="0"/>
              <w:snapToGrid w:val="0"/>
              <w:spacing w:line="240" w:lineRule="exact"/>
              <w:ind w:right="418" w:rightChars="174"/>
              <w:jc w:val="right"/>
              <w:rPr>
                <w:rFonts w:cs="Arial"/>
                <w:color w:val="000000"/>
                <w:sz w:val="20"/>
                <w:szCs w:val="20"/>
              </w:rPr>
            </w:pPr>
            <w:r>
              <w:rPr>
                <w:rFonts w:hint="eastAsia" w:cs="Arial"/>
                <w:color w:val="000000"/>
                <w:sz w:val="20"/>
                <w:szCs w:val="20"/>
              </w:rPr>
              <w:t>　金额单位：万元</w:t>
            </w:r>
          </w:p>
        </w:tc>
      </w:tr>
      <w:tr>
        <w:tblPrEx>
          <w:tblCellMar>
            <w:top w:w="0" w:type="dxa"/>
            <w:left w:w="108" w:type="dxa"/>
            <w:bottom w:w="0" w:type="dxa"/>
            <w:right w:w="108" w:type="dxa"/>
          </w:tblCellMar>
        </w:tblPrEx>
        <w:trPr>
          <w:trHeight w:val="270" w:hRule="atLeast"/>
        </w:trPr>
        <w:tc>
          <w:tcPr>
            <w:tcW w:w="3872" w:type="dxa"/>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收入</w:t>
            </w:r>
          </w:p>
        </w:tc>
        <w:tc>
          <w:tcPr>
            <w:tcW w:w="4634" w:type="dxa"/>
            <w:gridSpan w:val="4"/>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支出</w:t>
            </w:r>
          </w:p>
        </w:tc>
      </w:tr>
      <w:tr>
        <w:tblPrEx>
          <w:tblCellMar>
            <w:top w:w="0" w:type="dxa"/>
            <w:left w:w="108" w:type="dxa"/>
            <w:bottom w:w="0" w:type="dxa"/>
            <w:right w:w="108" w:type="dxa"/>
          </w:tblCellMar>
        </w:tblPrEx>
        <w:trPr>
          <w:trHeight w:val="335"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项目</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行次</w:t>
            </w:r>
          </w:p>
        </w:tc>
        <w:tc>
          <w:tcPr>
            <w:tcW w:w="1198"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金额</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项目</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行次</w:t>
            </w:r>
          </w:p>
        </w:tc>
        <w:tc>
          <w:tcPr>
            <w:tcW w:w="1134"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金额</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栏次</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1198"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栏次</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1134"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w:t>
            </w:r>
          </w:p>
        </w:tc>
      </w:tr>
      <w:tr>
        <w:tblPrEx>
          <w:tblCellMar>
            <w:top w:w="0" w:type="dxa"/>
            <w:left w:w="108" w:type="dxa"/>
            <w:bottom w:w="0" w:type="dxa"/>
            <w:right w:w="108" w:type="dxa"/>
          </w:tblCellMar>
        </w:tblPrEx>
        <w:trPr>
          <w:trHeight w:val="315"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一、一般公共预算财政拨款收入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1,683.61</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一、一般公共服务支出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32</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二、政府性基金预算财政拨款收入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二、外交支出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33</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三、国有资本经营预算财政拨款收入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三、国防支出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34</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四、上级补助收入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四、公共安全支出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35</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1,750.24</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五、事业收入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五、教育支出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36</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7.16</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六、经营收入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6</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六、科学技术支出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37</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七、附属单位上缴收入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7</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七、文化旅游体育与传媒支出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38</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八、其他收入</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8</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172.93</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八、社会保障和就业支出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39</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78.13</w:t>
            </w:r>
          </w:p>
        </w:tc>
      </w:tr>
      <w:tr>
        <w:tblPrEx>
          <w:tblCellMar>
            <w:top w:w="0" w:type="dxa"/>
            <w:left w:w="108" w:type="dxa"/>
            <w:bottom w:w="0" w:type="dxa"/>
            <w:right w:w="108" w:type="dxa"/>
          </w:tblCellMar>
        </w:tblPrEx>
        <w:trPr>
          <w:trHeight w:val="163"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9</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九、卫生健康支出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40</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62.13</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10</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十、节能环保支出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41</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11</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十一、城乡社区支出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42</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12</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十二、农林水支出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43</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13</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十三、交通运输支出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44</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14</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十四、资源勘探工业信息等支出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45</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15</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十五、商业服务业等支出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46</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16</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十六、金融支出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47</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17</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十七、援助其他地区支出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48</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15"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18</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十八、自然资源海洋气象等支出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49</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19</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十九、住房保障支出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50</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98.00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20</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二十、粮油物资储备支出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51</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63"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21</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二十一、国有资本经营预算支出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52</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22</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二十二、灾害防治及应急管理支出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53</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71"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23</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二十三、其他支出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54</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191"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b/>
                <w:bCs/>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24</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二十四、债务还本支出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55</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157"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25</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二十五、债务付息支出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56</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65"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26</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二十六、抗疫特别国债安排的支出</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57</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b/>
                <w:bCs/>
                <w:sz w:val="20"/>
                <w:szCs w:val="20"/>
              </w:rPr>
            </w:pPr>
            <w:r>
              <w:rPr>
                <w:rFonts w:hint="eastAsia" w:cs="Arial" w:asciiTheme="majorEastAsia" w:hAnsiTheme="majorEastAsia" w:eastAsiaTheme="majorEastAsia"/>
                <w:b/>
                <w:bCs/>
                <w:sz w:val="20"/>
                <w:szCs w:val="20"/>
              </w:rPr>
              <w:t>本年收入合计</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27</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1,856.54</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b/>
                <w:bCs/>
                <w:sz w:val="20"/>
                <w:szCs w:val="20"/>
              </w:rPr>
            </w:pPr>
            <w:r>
              <w:rPr>
                <w:rFonts w:hint="eastAsia" w:cs="Arial" w:asciiTheme="majorEastAsia" w:hAnsiTheme="majorEastAsia" w:eastAsiaTheme="majorEastAsia"/>
                <w:b/>
                <w:bCs/>
                <w:sz w:val="20"/>
                <w:szCs w:val="20"/>
              </w:rPr>
              <w:t>本年支出合计</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58</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1,995.65</w:t>
            </w: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使用非财政拨款结余</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28</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结余分配</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59</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0.00</w:t>
            </w:r>
          </w:p>
        </w:tc>
      </w:tr>
      <w:tr>
        <w:tblPrEx>
          <w:tblCellMar>
            <w:top w:w="0" w:type="dxa"/>
            <w:left w:w="108" w:type="dxa"/>
            <w:bottom w:w="0" w:type="dxa"/>
            <w:right w:w="108" w:type="dxa"/>
          </w:tblCellMar>
        </w:tblPrEx>
        <w:trPr>
          <w:trHeight w:val="123"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年初结转和结余</w:t>
            </w: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29</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288.15</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年末结转和结余</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60</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149.04</w:t>
            </w:r>
          </w:p>
        </w:tc>
      </w:tr>
      <w:tr>
        <w:tblPrEx>
          <w:tblCellMar>
            <w:top w:w="0" w:type="dxa"/>
            <w:left w:w="108" w:type="dxa"/>
            <w:bottom w:w="0" w:type="dxa"/>
            <w:right w:w="108" w:type="dxa"/>
          </w:tblCellMar>
        </w:tblPrEx>
        <w:trPr>
          <w:trHeight w:val="64"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1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30</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c>
          <w:tcPr>
            <w:tcW w:w="305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61</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p>
        </w:tc>
      </w:tr>
      <w:tr>
        <w:tblPrEx>
          <w:tblCellMar>
            <w:top w:w="0" w:type="dxa"/>
            <w:left w:w="108" w:type="dxa"/>
            <w:bottom w:w="0" w:type="dxa"/>
            <w:right w:w="108" w:type="dxa"/>
          </w:tblCellMar>
        </w:tblPrEx>
        <w:trPr>
          <w:trHeight w:val="270" w:hRule="atLeast"/>
        </w:trPr>
        <w:tc>
          <w:tcPr>
            <w:tcW w:w="2258"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b/>
                <w:bCs/>
                <w:sz w:val="20"/>
                <w:szCs w:val="20"/>
              </w:rPr>
            </w:pPr>
            <w:r>
              <w:rPr>
                <w:rFonts w:hint="eastAsia" w:cs="Arial" w:asciiTheme="majorEastAsia" w:hAnsiTheme="majorEastAsia" w:eastAsiaTheme="majorEastAsia"/>
                <w:b/>
                <w:bCs/>
                <w:sz w:val="20"/>
                <w:szCs w:val="20"/>
              </w:rPr>
              <w:t>总计</w:t>
            </w:r>
          </w:p>
        </w:tc>
        <w:tc>
          <w:tcPr>
            <w:tcW w:w="416" w:type="dxa"/>
            <w:tcBorders>
              <w:top w:val="nil"/>
              <w:left w:val="nil"/>
              <w:bottom w:val="single" w:color="000000" w:sz="12"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31</w:t>
            </w:r>
          </w:p>
        </w:tc>
        <w:tc>
          <w:tcPr>
            <w:tcW w:w="1198"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2,144.70</w:t>
            </w:r>
          </w:p>
        </w:tc>
        <w:tc>
          <w:tcPr>
            <w:tcW w:w="3054" w:type="dxa"/>
            <w:gridSpan w:val="2"/>
            <w:tcBorders>
              <w:top w:val="nil"/>
              <w:left w:val="nil"/>
              <w:bottom w:val="single" w:color="000000" w:sz="4" w:space="0"/>
              <w:right w:val="single" w:color="000000" w:sz="4" w:space="0"/>
            </w:tcBorders>
            <w:shd w:val="clear" w:color="000000" w:fill="C0C0C0"/>
            <w:noWrap/>
            <w:vAlign w:val="center"/>
          </w:tcPr>
          <w:p>
            <w:pPr>
              <w:ind w:left="-468" w:leftChars="-195"/>
              <w:jc w:val="center"/>
              <w:rPr>
                <w:rFonts w:cs="Arial" w:asciiTheme="majorEastAsia" w:hAnsiTheme="majorEastAsia" w:eastAsiaTheme="majorEastAsia"/>
                <w:b/>
                <w:bCs/>
                <w:sz w:val="20"/>
                <w:szCs w:val="20"/>
              </w:rPr>
            </w:pPr>
            <w:r>
              <w:rPr>
                <w:rFonts w:hint="eastAsia" w:cs="Arial" w:asciiTheme="majorEastAsia" w:hAnsiTheme="majorEastAsia" w:eastAsiaTheme="majorEastAsia"/>
                <w:b/>
                <w:bCs/>
                <w:sz w:val="20"/>
                <w:szCs w:val="20"/>
              </w:rPr>
              <w:t>总计</w:t>
            </w:r>
          </w:p>
        </w:tc>
        <w:tc>
          <w:tcPr>
            <w:tcW w:w="446" w:type="dxa"/>
            <w:tcBorders>
              <w:top w:val="nil"/>
              <w:left w:val="nil"/>
              <w:bottom w:val="single" w:color="000000" w:sz="4" w:space="0"/>
              <w:right w:val="single" w:color="000000" w:sz="4" w:space="0"/>
            </w:tcBorders>
            <w:shd w:val="clear" w:color="000000" w:fill="C0C0C0"/>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62</w:t>
            </w:r>
          </w:p>
        </w:tc>
        <w:tc>
          <w:tcPr>
            <w:tcW w:w="1134" w:type="dxa"/>
            <w:tcBorders>
              <w:top w:val="nil"/>
              <w:left w:val="nil"/>
              <w:bottom w:val="single" w:color="000000" w:sz="4" w:space="0"/>
              <w:right w:val="single" w:color="000000" w:sz="4" w:space="0"/>
            </w:tcBorders>
            <w:shd w:val="clear" w:color="000000" w:fill="FFFFFF"/>
            <w:noWrap/>
            <w:vAlign w:val="center"/>
          </w:tcPr>
          <w:p>
            <w:pPr>
              <w:jc w:val="center"/>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2,144.70</w:t>
            </w:r>
          </w:p>
        </w:tc>
      </w:tr>
      <w:tr>
        <w:tblPrEx>
          <w:tblCellMar>
            <w:top w:w="0" w:type="dxa"/>
            <w:left w:w="108" w:type="dxa"/>
            <w:bottom w:w="0" w:type="dxa"/>
            <w:right w:w="108" w:type="dxa"/>
          </w:tblCellMar>
        </w:tblPrEx>
        <w:trPr>
          <w:trHeight w:val="270" w:hRule="atLeast"/>
        </w:trPr>
        <w:tc>
          <w:tcPr>
            <w:tcW w:w="8506" w:type="dxa"/>
            <w:gridSpan w:val="8"/>
            <w:tcBorders>
              <w:top w:val="nil"/>
              <w:left w:val="nil"/>
              <w:bottom w:val="nil"/>
              <w:right w:val="nil"/>
            </w:tcBorders>
            <w:shd w:val="clear" w:color="000000" w:fill="FFFFFF"/>
            <w:noWrap/>
            <w:vAlign w:val="center"/>
          </w:tcPr>
          <w:p>
            <w:pPr>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注：本表反映部门本年度的总收支和年末结转结余情况。本套报表金额单位转换时可能存在尾数误差。</w:t>
            </w:r>
          </w:p>
        </w:tc>
      </w:tr>
    </w:tbl>
    <w:p>
      <w:pPr>
        <w:pStyle w:val="14"/>
        <w:adjustRightInd w:val="0"/>
        <w:snapToGrid w:val="0"/>
        <w:spacing w:before="0" w:beforeAutospacing="0" w:after="0" w:afterAutospacing="0" w:line="400" w:lineRule="exact"/>
        <w:outlineLvl w:val="1"/>
        <w:rPr>
          <w:rFonts w:ascii="仿宋" w:hAnsi="仿宋" w:eastAsia="仿宋"/>
          <w:shd w:val="clear" w:color="auto" w:fill="FFFFFF"/>
        </w:rPr>
        <w:sectPr>
          <w:footerReference r:id="rId5" w:type="default"/>
          <w:pgSz w:w="11915" w:h="16851"/>
          <w:pgMar w:top="1440" w:right="1800" w:bottom="1440" w:left="1800" w:header="851" w:footer="992" w:gutter="0"/>
          <w:pgNumType w:start="1"/>
          <w:cols w:space="720" w:num="1"/>
          <w:docGrid w:type="lines" w:linePitch="312" w:charSpace="0"/>
        </w:sectPr>
      </w:pPr>
    </w:p>
    <w:p>
      <w:pPr>
        <w:pStyle w:val="14"/>
        <w:spacing w:before="0" w:beforeAutospacing="0"/>
        <w:ind w:firstLine="640" w:firstLineChars="200"/>
        <w:outlineLvl w:val="1"/>
        <w:rPr>
          <w:rFonts w:ascii="黑体" w:hAnsi="黑体" w:eastAsia="黑体" w:cs="楷体"/>
          <w:sz w:val="32"/>
          <w:szCs w:val="32"/>
          <w:shd w:val="clear" w:color="auto" w:fill="FFFFFF"/>
        </w:rPr>
      </w:pPr>
      <w:bookmarkStart w:id="7" w:name="_Toc17035"/>
      <w:r>
        <w:rPr>
          <w:rFonts w:hint="eastAsia" w:ascii="黑体" w:hAnsi="黑体" w:eastAsia="黑体" w:cs="楷体"/>
          <w:sz w:val="32"/>
          <w:szCs w:val="32"/>
          <w:shd w:val="clear" w:color="auto" w:fill="FFFFFF"/>
        </w:rPr>
        <w:t>二、收入决算表</w:t>
      </w:r>
      <w:bookmarkEnd w:id="7"/>
    </w:p>
    <w:tbl>
      <w:tblPr>
        <w:tblStyle w:val="15"/>
        <w:tblW w:w="14049" w:type="dxa"/>
        <w:tblInd w:w="93" w:type="dxa"/>
        <w:tblLayout w:type="autofit"/>
        <w:tblCellMar>
          <w:top w:w="0" w:type="dxa"/>
          <w:left w:w="108" w:type="dxa"/>
          <w:bottom w:w="0" w:type="dxa"/>
          <w:right w:w="108" w:type="dxa"/>
        </w:tblCellMar>
      </w:tblPr>
      <w:tblGrid>
        <w:gridCol w:w="340"/>
        <w:gridCol w:w="340"/>
        <w:gridCol w:w="340"/>
        <w:gridCol w:w="3673"/>
        <w:gridCol w:w="1559"/>
        <w:gridCol w:w="1843"/>
        <w:gridCol w:w="992"/>
        <w:gridCol w:w="993"/>
        <w:gridCol w:w="992"/>
        <w:gridCol w:w="992"/>
        <w:gridCol w:w="1985"/>
      </w:tblGrid>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67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55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4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9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9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9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9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985" w:type="dxa"/>
            <w:tcBorders>
              <w:top w:val="nil"/>
              <w:left w:val="nil"/>
              <w:bottom w:val="nil"/>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公开02表</w:t>
            </w:r>
          </w:p>
        </w:tc>
      </w:tr>
      <w:tr>
        <w:tblPrEx>
          <w:tblCellMar>
            <w:top w:w="0" w:type="dxa"/>
            <w:left w:w="108" w:type="dxa"/>
            <w:bottom w:w="0" w:type="dxa"/>
            <w:right w:w="108" w:type="dxa"/>
          </w:tblCellMar>
        </w:tblPrEx>
        <w:trPr>
          <w:trHeight w:val="300" w:hRule="atLeast"/>
        </w:trPr>
        <w:tc>
          <w:tcPr>
            <w:tcW w:w="4693" w:type="dxa"/>
            <w:gridSpan w:val="4"/>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部门：娄底市娄星区人民检察院</w:t>
            </w:r>
          </w:p>
        </w:tc>
        <w:tc>
          <w:tcPr>
            <w:tcW w:w="1559"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843" w:type="dxa"/>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2020年度</w:t>
            </w:r>
          </w:p>
        </w:tc>
        <w:tc>
          <w:tcPr>
            <w:tcW w:w="992"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993"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992"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992"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985" w:type="dxa"/>
            <w:tcBorders>
              <w:top w:val="nil"/>
              <w:left w:val="nil"/>
              <w:bottom w:val="single" w:color="808080" w:sz="4" w:space="0"/>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4693"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1559"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本年收入合计</w:t>
            </w:r>
          </w:p>
        </w:tc>
        <w:tc>
          <w:tcPr>
            <w:tcW w:w="1843"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财政拨款收入</w:t>
            </w:r>
          </w:p>
        </w:tc>
        <w:tc>
          <w:tcPr>
            <w:tcW w:w="992"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上级补助收入</w:t>
            </w:r>
          </w:p>
        </w:tc>
        <w:tc>
          <w:tcPr>
            <w:tcW w:w="993"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事业收入</w:t>
            </w:r>
          </w:p>
        </w:tc>
        <w:tc>
          <w:tcPr>
            <w:tcW w:w="992"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经营收入</w:t>
            </w:r>
          </w:p>
        </w:tc>
        <w:tc>
          <w:tcPr>
            <w:tcW w:w="992"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附属单位上缴收入</w:t>
            </w:r>
          </w:p>
        </w:tc>
        <w:tc>
          <w:tcPr>
            <w:tcW w:w="1985"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其他收入</w:t>
            </w:r>
          </w:p>
        </w:tc>
      </w:tr>
      <w:tr>
        <w:tblPrEx>
          <w:tblCellMar>
            <w:top w:w="0" w:type="dxa"/>
            <w:left w:w="108" w:type="dxa"/>
            <w:bottom w:w="0" w:type="dxa"/>
            <w:right w:w="108" w:type="dxa"/>
          </w:tblCellMar>
        </w:tblPrEx>
        <w:trPr>
          <w:trHeight w:val="300"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3673" w:type="dxa"/>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155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67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55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67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55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500" w:hRule="atLeast"/>
        </w:trPr>
        <w:tc>
          <w:tcPr>
            <w:tcW w:w="4693" w:type="dxa"/>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1559"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1843"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992"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c>
          <w:tcPr>
            <w:tcW w:w="993"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4</w:t>
            </w:r>
          </w:p>
        </w:tc>
        <w:tc>
          <w:tcPr>
            <w:tcW w:w="992"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5</w:t>
            </w:r>
          </w:p>
        </w:tc>
        <w:tc>
          <w:tcPr>
            <w:tcW w:w="992"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6</w:t>
            </w:r>
          </w:p>
        </w:tc>
        <w:tc>
          <w:tcPr>
            <w:tcW w:w="1985"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7</w:t>
            </w:r>
          </w:p>
        </w:tc>
      </w:tr>
      <w:tr>
        <w:tblPrEx>
          <w:tblCellMar>
            <w:top w:w="0" w:type="dxa"/>
            <w:left w:w="108" w:type="dxa"/>
            <w:bottom w:w="0" w:type="dxa"/>
            <w:right w:w="108" w:type="dxa"/>
          </w:tblCellMar>
        </w:tblPrEx>
        <w:trPr>
          <w:trHeight w:val="564" w:hRule="atLeast"/>
        </w:trPr>
        <w:tc>
          <w:tcPr>
            <w:tcW w:w="4693" w:type="dxa"/>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合计</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1,856.54</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1,683.61</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172.93</w:t>
            </w:r>
          </w:p>
        </w:tc>
      </w:tr>
      <w:tr>
        <w:tblPrEx>
          <w:tblCellMar>
            <w:top w:w="0" w:type="dxa"/>
            <w:left w:w="108" w:type="dxa"/>
            <w:bottom w:w="0" w:type="dxa"/>
            <w:right w:w="108" w:type="dxa"/>
          </w:tblCellMar>
        </w:tblPrEx>
        <w:trPr>
          <w:trHeight w:val="558"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204</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公共安全支出</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1,609.28</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1,438.02</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171.26</w:t>
            </w:r>
          </w:p>
        </w:tc>
      </w:tr>
      <w:tr>
        <w:tblPrEx>
          <w:tblCellMar>
            <w:top w:w="0" w:type="dxa"/>
            <w:left w:w="108" w:type="dxa"/>
            <w:bottom w:w="0" w:type="dxa"/>
            <w:right w:w="108" w:type="dxa"/>
          </w:tblCellMar>
        </w:tblPrEx>
        <w:trPr>
          <w:trHeight w:val="41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20404</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检察</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1,609.28</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1,438.02</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171.26</w:t>
            </w:r>
          </w:p>
        </w:tc>
      </w:tr>
      <w:tr>
        <w:tblPrEx>
          <w:tblCellMar>
            <w:top w:w="0" w:type="dxa"/>
            <w:left w:w="108" w:type="dxa"/>
            <w:bottom w:w="0" w:type="dxa"/>
            <w:right w:w="108" w:type="dxa"/>
          </w:tblCellMar>
        </w:tblPrEx>
        <w:trPr>
          <w:trHeight w:val="558"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2040401</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行政运行</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1,465.88</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1,302.62</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163.26</w:t>
            </w:r>
          </w:p>
        </w:tc>
      </w:tr>
      <w:tr>
        <w:tblPrEx>
          <w:tblCellMar>
            <w:top w:w="0" w:type="dxa"/>
            <w:left w:w="108" w:type="dxa"/>
            <w:bottom w:w="0" w:type="dxa"/>
            <w:right w:w="108" w:type="dxa"/>
          </w:tblCellMar>
        </w:tblPrEx>
        <w:trPr>
          <w:trHeight w:val="422"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2040402</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一般行政管理事务</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101.00</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101.00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14"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2040410</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检察监督</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42.40</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34.40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8.00</w:t>
            </w:r>
          </w:p>
        </w:tc>
      </w:tr>
      <w:tr>
        <w:tblPrEx>
          <w:tblCellMar>
            <w:top w:w="0" w:type="dxa"/>
            <w:left w:w="108" w:type="dxa"/>
            <w:bottom w:w="0" w:type="dxa"/>
            <w:right w:w="108" w:type="dxa"/>
          </w:tblCellMar>
        </w:tblPrEx>
        <w:trPr>
          <w:trHeight w:val="548"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205</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教育支出</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9.00</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556"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20508</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进修及培训</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9.00</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562" w:hRule="atLeast"/>
        </w:trPr>
        <w:tc>
          <w:tcPr>
            <w:tcW w:w="1020" w:type="dxa"/>
            <w:gridSpan w:val="3"/>
            <w:tcBorders>
              <w:top w:val="nil"/>
              <w:left w:val="single" w:color="000000" w:sz="4" w:space="0"/>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2050803</w:t>
            </w:r>
          </w:p>
        </w:tc>
        <w:tc>
          <w:tcPr>
            <w:tcW w:w="3673" w:type="dxa"/>
            <w:tcBorders>
              <w:top w:val="nil"/>
              <w:left w:val="nil"/>
              <w:bottom w:val="single" w:color="auto"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培训支出</w:t>
            </w:r>
          </w:p>
        </w:tc>
        <w:tc>
          <w:tcPr>
            <w:tcW w:w="1559" w:type="dxa"/>
            <w:tcBorders>
              <w:top w:val="nil"/>
              <w:left w:val="nil"/>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9.00</w:t>
            </w:r>
          </w:p>
        </w:tc>
        <w:tc>
          <w:tcPr>
            <w:tcW w:w="1843" w:type="dxa"/>
            <w:tcBorders>
              <w:top w:val="nil"/>
              <w:left w:val="nil"/>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9.00</w:t>
            </w:r>
          </w:p>
        </w:tc>
        <w:tc>
          <w:tcPr>
            <w:tcW w:w="992" w:type="dxa"/>
            <w:tcBorders>
              <w:top w:val="nil"/>
              <w:left w:val="nil"/>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auto"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560" w:hRule="atLeast"/>
        </w:trPr>
        <w:tc>
          <w:tcPr>
            <w:tcW w:w="1020"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208</w:t>
            </w:r>
          </w:p>
        </w:tc>
        <w:tc>
          <w:tcPr>
            <w:tcW w:w="3673"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社会保障和就业支出</w:t>
            </w:r>
          </w:p>
        </w:tc>
        <w:tc>
          <w:tcPr>
            <w:tcW w:w="1559"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78.13</w:t>
            </w:r>
          </w:p>
        </w:tc>
        <w:tc>
          <w:tcPr>
            <w:tcW w:w="1843"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77.09</w:t>
            </w:r>
          </w:p>
        </w:tc>
        <w:tc>
          <w:tcPr>
            <w:tcW w:w="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b/>
                <w:bCs/>
                <w:sz w:val="20"/>
                <w:szCs w:val="20"/>
              </w:rPr>
            </w:pPr>
            <w:r>
              <w:rPr>
                <w:rFonts w:hint="eastAsia" w:cs="Arial"/>
                <w:b/>
                <w:bCs/>
                <w:sz w:val="20"/>
                <w:szCs w:val="20"/>
              </w:rPr>
              <w:t>1.04</w:t>
            </w:r>
          </w:p>
        </w:tc>
      </w:tr>
      <w:tr>
        <w:tblPrEx>
          <w:tblCellMar>
            <w:top w:w="0" w:type="dxa"/>
            <w:left w:w="108" w:type="dxa"/>
            <w:bottom w:w="0" w:type="dxa"/>
            <w:right w:w="108" w:type="dxa"/>
          </w:tblCellMar>
        </w:tblPrEx>
        <w:trPr>
          <w:trHeight w:val="427" w:hRule="atLeast"/>
        </w:trPr>
        <w:tc>
          <w:tcPr>
            <w:tcW w:w="1020" w:type="dxa"/>
            <w:gridSpan w:val="3"/>
            <w:tcBorders>
              <w:top w:val="single" w:color="auto" w:sz="4" w:space="0"/>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20805</w:t>
            </w:r>
          </w:p>
        </w:tc>
        <w:tc>
          <w:tcPr>
            <w:tcW w:w="3673"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行政事业单位养老支出</w:t>
            </w:r>
          </w:p>
        </w:tc>
        <w:tc>
          <w:tcPr>
            <w:tcW w:w="1559"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76.13</w:t>
            </w:r>
          </w:p>
        </w:tc>
        <w:tc>
          <w:tcPr>
            <w:tcW w:w="1843"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75.09</w:t>
            </w:r>
          </w:p>
        </w:tc>
        <w:tc>
          <w:tcPr>
            <w:tcW w:w="992"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1.04</w:t>
            </w:r>
          </w:p>
        </w:tc>
      </w:tr>
      <w:tr>
        <w:tblPrEx>
          <w:tblCellMar>
            <w:top w:w="0" w:type="dxa"/>
            <w:left w:w="108" w:type="dxa"/>
            <w:bottom w:w="0" w:type="dxa"/>
            <w:right w:w="108" w:type="dxa"/>
          </w:tblCellMar>
        </w:tblPrEx>
        <w:trPr>
          <w:trHeight w:val="561"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2080505</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机关事业单位基本养老保险缴费支出</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76.13</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75.09</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ind w:left="-533" w:leftChars="-222" w:firstLine="532" w:firstLineChars="266"/>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1.04</w:t>
            </w:r>
          </w:p>
        </w:tc>
      </w:tr>
      <w:tr>
        <w:tblPrEx>
          <w:tblCellMar>
            <w:top w:w="0" w:type="dxa"/>
            <w:left w:w="108" w:type="dxa"/>
            <w:bottom w:w="0" w:type="dxa"/>
            <w:right w:w="108" w:type="dxa"/>
          </w:tblCellMar>
        </w:tblPrEx>
        <w:trPr>
          <w:trHeight w:val="541"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20899</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其他社会保障和就业支出</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2.00</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704"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2089901</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其他社会保障和就业支出</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2.00</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554"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210</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卫生健康支出</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62.13</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61.50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0.63</w:t>
            </w:r>
          </w:p>
        </w:tc>
      </w:tr>
      <w:tr>
        <w:tblPrEx>
          <w:tblCellMar>
            <w:top w:w="0" w:type="dxa"/>
            <w:left w:w="108" w:type="dxa"/>
            <w:bottom w:w="0" w:type="dxa"/>
            <w:right w:w="108" w:type="dxa"/>
          </w:tblCellMar>
        </w:tblPrEx>
        <w:trPr>
          <w:trHeight w:val="562"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21011</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行政事业单位医疗</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62.13</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61.50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0.63</w:t>
            </w:r>
          </w:p>
        </w:tc>
      </w:tr>
      <w:tr>
        <w:tblPrEx>
          <w:tblCellMar>
            <w:top w:w="0" w:type="dxa"/>
            <w:left w:w="108" w:type="dxa"/>
            <w:bottom w:w="0" w:type="dxa"/>
            <w:right w:w="108" w:type="dxa"/>
          </w:tblCellMar>
        </w:tblPrEx>
        <w:trPr>
          <w:trHeight w:val="698"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2101101</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行政单位医疗</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45.63</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45.00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0.63</w:t>
            </w:r>
          </w:p>
        </w:tc>
      </w:tr>
      <w:tr>
        <w:tblPrEx>
          <w:tblCellMar>
            <w:top w:w="0" w:type="dxa"/>
            <w:left w:w="108" w:type="dxa"/>
            <w:bottom w:w="0" w:type="dxa"/>
            <w:right w:w="108" w:type="dxa"/>
          </w:tblCellMar>
        </w:tblPrEx>
        <w:trPr>
          <w:trHeight w:val="562"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2101103</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公务员医疗补助</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16.50</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16.50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55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221</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住房保障支出</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562"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22102</w:t>
            </w:r>
          </w:p>
        </w:tc>
        <w:tc>
          <w:tcPr>
            <w:tcW w:w="367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住房改革支出</w:t>
            </w:r>
          </w:p>
        </w:tc>
        <w:tc>
          <w:tcPr>
            <w:tcW w:w="155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184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3"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985"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566"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2210201</w:t>
            </w:r>
          </w:p>
        </w:tc>
        <w:tc>
          <w:tcPr>
            <w:tcW w:w="3673" w:type="dxa"/>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住房公积金</w:t>
            </w:r>
          </w:p>
        </w:tc>
        <w:tc>
          <w:tcPr>
            <w:tcW w:w="1559"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98.00</w:t>
            </w:r>
          </w:p>
        </w:tc>
        <w:tc>
          <w:tcPr>
            <w:tcW w:w="184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98.00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3"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985"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4049" w:type="dxa"/>
            <w:gridSpan w:val="11"/>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注：本表反映部门本年度取得的各项收入情况。</w:t>
            </w:r>
          </w:p>
        </w:tc>
      </w:tr>
    </w:tbl>
    <w:p>
      <w:pPr>
        <w:pStyle w:val="14"/>
        <w:spacing w:before="0" w:beforeAutospacing="0"/>
        <w:outlineLvl w:val="1"/>
        <w:rPr>
          <w:shd w:val="clear" w:color="auto" w:fill="FFFFFF"/>
        </w:rPr>
        <w:sectPr>
          <w:pgSz w:w="16851" w:h="11915" w:orient="landscape"/>
          <w:pgMar w:top="1800" w:right="1440" w:bottom="1800" w:left="1440" w:header="851" w:footer="992" w:gutter="0"/>
          <w:cols w:space="720" w:num="1"/>
          <w:docGrid w:type="lines" w:linePitch="312" w:charSpace="0"/>
        </w:sectPr>
      </w:pPr>
    </w:p>
    <w:p>
      <w:pPr>
        <w:pStyle w:val="14"/>
        <w:spacing w:before="0" w:beforeAutospacing="0"/>
        <w:ind w:firstLine="640" w:firstLineChars="200"/>
        <w:outlineLvl w:val="1"/>
        <w:rPr>
          <w:rFonts w:ascii="黑体" w:hAnsi="黑体" w:eastAsia="黑体" w:cs="楷体"/>
          <w:sz w:val="32"/>
          <w:szCs w:val="32"/>
          <w:shd w:val="clear" w:color="auto" w:fill="FFFFFF"/>
        </w:rPr>
      </w:pPr>
      <w:bookmarkStart w:id="8" w:name="_Toc6985"/>
      <w:r>
        <w:rPr>
          <w:rFonts w:hint="eastAsia" w:ascii="黑体" w:hAnsi="黑体" w:eastAsia="黑体" w:cs="楷体"/>
          <w:sz w:val="32"/>
          <w:szCs w:val="32"/>
          <w:shd w:val="clear" w:color="auto" w:fill="FFFFFF"/>
        </w:rPr>
        <w:t>三、支出决算表</w:t>
      </w:r>
      <w:bookmarkEnd w:id="8"/>
    </w:p>
    <w:tbl>
      <w:tblPr>
        <w:tblStyle w:val="15"/>
        <w:tblW w:w="15980" w:type="dxa"/>
        <w:tblInd w:w="0" w:type="dxa"/>
        <w:tblLayout w:type="autofit"/>
        <w:tblCellMar>
          <w:top w:w="0" w:type="dxa"/>
          <w:left w:w="108" w:type="dxa"/>
          <w:bottom w:w="0" w:type="dxa"/>
          <w:right w:w="108" w:type="dxa"/>
        </w:tblCellMar>
      </w:tblPr>
      <w:tblGrid>
        <w:gridCol w:w="93"/>
        <w:gridCol w:w="340"/>
        <w:gridCol w:w="340"/>
        <w:gridCol w:w="340"/>
        <w:gridCol w:w="2304"/>
        <w:gridCol w:w="93"/>
        <w:gridCol w:w="1892"/>
        <w:gridCol w:w="93"/>
        <w:gridCol w:w="1427"/>
        <w:gridCol w:w="59"/>
        <w:gridCol w:w="215"/>
        <w:gridCol w:w="1701"/>
        <w:gridCol w:w="363"/>
        <w:gridCol w:w="175"/>
        <w:gridCol w:w="1526"/>
        <w:gridCol w:w="451"/>
        <w:gridCol w:w="709"/>
        <w:gridCol w:w="399"/>
        <w:gridCol w:w="1480"/>
        <w:gridCol w:w="1373"/>
        <w:gridCol w:w="607"/>
      </w:tblGrid>
      <w:tr>
        <w:tblPrEx>
          <w:tblCellMar>
            <w:top w:w="0" w:type="dxa"/>
            <w:left w:w="108" w:type="dxa"/>
            <w:bottom w:w="0" w:type="dxa"/>
            <w:right w:w="108" w:type="dxa"/>
          </w:tblCellMar>
        </w:tblPrEx>
        <w:trPr>
          <w:gridBefore w:val="1"/>
          <w:gridAfter w:val="1"/>
          <w:wBefore w:w="93" w:type="dxa"/>
          <w:wAfter w:w="607" w:type="dxa"/>
          <w:trHeight w:val="300" w:hRule="atLeast"/>
        </w:trPr>
        <w:tc>
          <w:tcPr>
            <w:tcW w:w="3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97"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985"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27"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513" w:type="dxa"/>
            <w:gridSpan w:val="5"/>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977"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0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252" w:type="dxa"/>
            <w:gridSpan w:val="3"/>
            <w:tcBorders>
              <w:top w:val="nil"/>
              <w:left w:val="nil"/>
              <w:bottom w:val="nil"/>
              <w:right w:val="single" w:color="808080" w:sz="4" w:space="0"/>
            </w:tcBorders>
            <w:shd w:val="clear" w:color="000000" w:fill="FFFFFF"/>
            <w:noWrap/>
            <w:vAlign w:val="center"/>
          </w:tcPr>
          <w:p>
            <w:pPr>
              <w:tabs>
                <w:tab w:val="left" w:pos="1487"/>
              </w:tabs>
              <w:ind w:right="1548" w:rightChars="645"/>
              <w:jc w:val="right"/>
              <w:rPr>
                <w:rFonts w:cs="Arial"/>
                <w:color w:val="000000"/>
                <w:sz w:val="22"/>
                <w:szCs w:val="22"/>
              </w:rPr>
            </w:pPr>
            <w:r>
              <w:rPr>
                <w:rFonts w:hint="eastAsia" w:cs="Arial"/>
                <w:color w:val="000000"/>
                <w:sz w:val="22"/>
                <w:szCs w:val="22"/>
              </w:rPr>
              <w:t>公开03表</w:t>
            </w:r>
          </w:p>
        </w:tc>
      </w:tr>
      <w:tr>
        <w:tblPrEx>
          <w:tblCellMar>
            <w:top w:w="0" w:type="dxa"/>
            <w:left w:w="108" w:type="dxa"/>
            <w:bottom w:w="0" w:type="dxa"/>
            <w:right w:w="108" w:type="dxa"/>
          </w:tblCellMar>
        </w:tblPrEx>
        <w:trPr>
          <w:trHeight w:val="361" w:hRule="atLeast"/>
        </w:trPr>
        <w:tc>
          <w:tcPr>
            <w:tcW w:w="3417" w:type="dxa"/>
            <w:gridSpan w:val="5"/>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部门：娄底市娄星区人民检察院</w:t>
            </w:r>
          </w:p>
        </w:tc>
        <w:tc>
          <w:tcPr>
            <w:tcW w:w="1985" w:type="dxa"/>
            <w:gridSpan w:val="2"/>
            <w:tcBorders>
              <w:top w:val="nil"/>
              <w:left w:val="nil"/>
              <w:bottom w:val="single" w:color="808080" w:sz="4" w:space="0"/>
              <w:right w:val="nil"/>
            </w:tcBorders>
            <w:shd w:val="clear" w:color="000000" w:fill="FFFFFF"/>
            <w:noWrap/>
            <w:vAlign w:val="center"/>
          </w:tcPr>
          <w:p>
            <w:pPr>
              <w:tabs>
                <w:tab w:val="left" w:pos="885"/>
                <w:tab w:val="left" w:pos="1026"/>
              </w:tabs>
              <w:ind w:right="-1382" w:rightChars="-576"/>
              <w:rPr>
                <w:rFonts w:cs="Arial"/>
                <w:color w:val="000000"/>
                <w:sz w:val="22"/>
                <w:szCs w:val="22"/>
              </w:rPr>
            </w:pPr>
          </w:p>
        </w:tc>
        <w:tc>
          <w:tcPr>
            <w:tcW w:w="1579" w:type="dxa"/>
            <w:gridSpan w:val="3"/>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916" w:type="dxa"/>
            <w:gridSpan w:val="2"/>
            <w:tcBorders>
              <w:top w:val="nil"/>
              <w:left w:val="nil"/>
              <w:bottom w:val="single" w:color="808080" w:sz="4" w:space="0"/>
              <w:right w:val="nil"/>
            </w:tcBorders>
            <w:shd w:val="clear" w:color="000000" w:fill="FFFFFF"/>
            <w:noWrap/>
            <w:vAlign w:val="center"/>
          </w:tcPr>
          <w:p>
            <w:pPr>
              <w:ind w:right="-329" w:rightChars="-137"/>
              <w:rPr>
                <w:rFonts w:cs="Arial"/>
                <w:color w:val="000000"/>
                <w:sz w:val="22"/>
                <w:szCs w:val="22"/>
              </w:rPr>
            </w:pPr>
            <w:r>
              <w:rPr>
                <w:rFonts w:hint="eastAsia" w:cs="Arial"/>
                <w:color w:val="000000"/>
                <w:sz w:val="22"/>
                <w:szCs w:val="22"/>
              </w:rPr>
              <w:t>　2020年度</w:t>
            </w:r>
          </w:p>
        </w:tc>
        <w:tc>
          <w:tcPr>
            <w:tcW w:w="7083" w:type="dxa"/>
            <w:gridSpan w:val="9"/>
            <w:tcBorders>
              <w:top w:val="nil"/>
              <w:left w:val="nil"/>
              <w:bottom w:val="single" w:color="808080" w:sz="4" w:space="0"/>
              <w:right w:val="single" w:color="808080" w:sz="4" w:space="0"/>
            </w:tcBorders>
            <w:shd w:val="clear" w:color="000000" w:fill="FFFFFF"/>
            <w:noWrap/>
            <w:vAlign w:val="center"/>
          </w:tcPr>
          <w:p>
            <w:pPr>
              <w:ind w:right="2014" w:rightChars="839"/>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gridBefore w:val="1"/>
          <w:gridAfter w:val="2"/>
          <w:wBefore w:w="93" w:type="dxa"/>
          <w:wAfter w:w="1980" w:type="dxa"/>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项目</w:t>
            </w:r>
          </w:p>
        </w:tc>
        <w:tc>
          <w:tcPr>
            <w:tcW w:w="198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本年支出合计</w:t>
            </w:r>
          </w:p>
        </w:tc>
        <w:tc>
          <w:tcPr>
            <w:tcW w:w="1701"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2064"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c>
          <w:tcPr>
            <w:tcW w:w="1701"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上缴上级支出</w:t>
            </w:r>
          </w:p>
        </w:tc>
        <w:tc>
          <w:tcPr>
            <w:tcW w:w="1559"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经营支出</w:t>
            </w:r>
          </w:p>
        </w:tc>
        <w:tc>
          <w:tcPr>
            <w:tcW w:w="1480"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gridBefore w:val="1"/>
          <w:gridAfter w:val="2"/>
          <w:wBefore w:w="93" w:type="dxa"/>
          <w:wAfter w:w="1980" w:type="dxa"/>
          <w:trHeight w:val="300"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2397" w:type="dxa"/>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1985"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701" w:type="dxa"/>
            <w:gridSpan w:val="3"/>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2064"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701"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559" w:type="dxa"/>
            <w:gridSpan w:val="3"/>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480" w:type="dxa"/>
            <w:vMerge w:val="continue"/>
            <w:tcBorders>
              <w:top w:val="nil"/>
              <w:left w:val="nil"/>
              <w:bottom w:val="single" w:color="000000" w:sz="4" w:space="0"/>
              <w:right w:val="single" w:color="000000" w:sz="4" w:space="0"/>
            </w:tcBorders>
            <w:vAlign w:val="center"/>
          </w:tcPr>
          <w:p>
            <w:pPr>
              <w:jc w:val="center"/>
              <w:rPr>
                <w:rFonts w:cs="Arial"/>
                <w:sz w:val="20"/>
                <w:szCs w:val="20"/>
              </w:rPr>
            </w:pPr>
          </w:p>
        </w:tc>
      </w:tr>
      <w:tr>
        <w:tblPrEx>
          <w:tblCellMar>
            <w:top w:w="0" w:type="dxa"/>
            <w:left w:w="108" w:type="dxa"/>
            <w:bottom w:w="0" w:type="dxa"/>
            <w:right w:w="108" w:type="dxa"/>
          </w:tblCellMar>
        </w:tblPrEx>
        <w:trPr>
          <w:gridBefore w:val="1"/>
          <w:gridAfter w:val="2"/>
          <w:wBefore w:w="93" w:type="dxa"/>
          <w:wAfter w:w="1980" w:type="dxa"/>
          <w:trHeight w:val="300"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jc w:val="center"/>
              <w:rPr>
                <w:rFonts w:cs="Arial"/>
                <w:sz w:val="20"/>
                <w:szCs w:val="20"/>
              </w:rPr>
            </w:pPr>
          </w:p>
        </w:tc>
        <w:tc>
          <w:tcPr>
            <w:tcW w:w="2397"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985"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701" w:type="dxa"/>
            <w:gridSpan w:val="3"/>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2064"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701"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559" w:type="dxa"/>
            <w:gridSpan w:val="3"/>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480" w:type="dxa"/>
            <w:vMerge w:val="continue"/>
            <w:tcBorders>
              <w:top w:val="nil"/>
              <w:left w:val="nil"/>
              <w:bottom w:val="single" w:color="000000" w:sz="4" w:space="0"/>
              <w:right w:val="single" w:color="000000" w:sz="4" w:space="0"/>
            </w:tcBorders>
            <w:vAlign w:val="center"/>
          </w:tcPr>
          <w:p>
            <w:pPr>
              <w:jc w:val="center"/>
              <w:rPr>
                <w:rFonts w:cs="Arial"/>
                <w:sz w:val="20"/>
                <w:szCs w:val="20"/>
              </w:rPr>
            </w:pPr>
          </w:p>
        </w:tc>
      </w:tr>
      <w:tr>
        <w:tblPrEx>
          <w:tblCellMar>
            <w:top w:w="0" w:type="dxa"/>
            <w:left w:w="108" w:type="dxa"/>
            <w:bottom w:w="0" w:type="dxa"/>
            <w:right w:w="108" w:type="dxa"/>
          </w:tblCellMar>
        </w:tblPrEx>
        <w:trPr>
          <w:gridBefore w:val="1"/>
          <w:gridAfter w:val="2"/>
          <w:wBefore w:w="93" w:type="dxa"/>
          <w:wAfter w:w="1980" w:type="dxa"/>
          <w:trHeight w:val="300"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jc w:val="center"/>
              <w:rPr>
                <w:rFonts w:cs="Arial"/>
                <w:sz w:val="20"/>
                <w:szCs w:val="20"/>
              </w:rPr>
            </w:pPr>
          </w:p>
        </w:tc>
        <w:tc>
          <w:tcPr>
            <w:tcW w:w="2397"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985"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701" w:type="dxa"/>
            <w:gridSpan w:val="3"/>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2064"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701" w:type="dxa"/>
            <w:gridSpan w:val="2"/>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559" w:type="dxa"/>
            <w:gridSpan w:val="3"/>
            <w:vMerge w:val="continue"/>
            <w:tcBorders>
              <w:top w:val="nil"/>
              <w:left w:val="nil"/>
              <w:bottom w:val="single" w:color="000000" w:sz="4" w:space="0"/>
              <w:right w:val="single" w:color="000000" w:sz="4" w:space="0"/>
            </w:tcBorders>
            <w:vAlign w:val="center"/>
          </w:tcPr>
          <w:p>
            <w:pPr>
              <w:jc w:val="center"/>
              <w:rPr>
                <w:rFonts w:cs="Arial"/>
                <w:sz w:val="20"/>
                <w:szCs w:val="20"/>
              </w:rPr>
            </w:pPr>
          </w:p>
        </w:tc>
        <w:tc>
          <w:tcPr>
            <w:tcW w:w="1480" w:type="dxa"/>
            <w:vMerge w:val="continue"/>
            <w:tcBorders>
              <w:top w:val="nil"/>
              <w:left w:val="nil"/>
              <w:bottom w:val="single" w:color="000000" w:sz="4" w:space="0"/>
              <w:right w:val="single" w:color="000000" w:sz="4" w:space="0"/>
            </w:tcBorders>
            <w:vAlign w:val="center"/>
          </w:tcPr>
          <w:p>
            <w:pPr>
              <w:jc w:val="center"/>
              <w:rPr>
                <w:rFonts w:cs="Arial"/>
                <w:sz w:val="20"/>
                <w:szCs w:val="20"/>
              </w:rPr>
            </w:pPr>
          </w:p>
        </w:tc>
      </w:tr>
      <w:tr>
        <w:tblPrEx>
          <w:tblCellMar>
            <w:top w:w="0" w:type="dxa"/>
            <w:left w:w="108" w:type="dxa"/>
            <w:bottom w:w="0" w:type="dxa"/>
            <w:right w:w="108" w:type="dxa"/>
          </w:tblCellMar>
        </w:tblPrEx>
        <w:trPr>
          <w:gridBefore w:val="1"/>
          <w:gridAfter w:val="2"/>
          <w:wBefore w:w="93" w:type="dxa"/>
          <w:wAfter w:w="1980" w:type="dxa"/>
          <w:trHeight w:val="585" w:hRule="atLeast"/>
        </w:trPr>
        <w:tc>
          <w:tcPr>
            <w:tcW w:w="3417"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1985"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1701"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2064"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c>
          <w:tcPr>
            <w:tcW w:w="1701"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4</w:t>
            </w:r>
          </w:p>
        </w:tc>
        <w:tc>
          <w:tcPr>
            <w:tcW w:w="1559"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5</w:t>
            </w:r>
          </w:p>
        </w:tc>
        <w:tc>
          <w:tcPr>
            <w:tcW w:w="148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gridBefore w:val="1"/>
          <w:gridAfter w:val="2"/>
          <w:wBefore w:w="93" w:type="dxa"/>
          <w:wAfter w:w="1980" w:type="dxa"/>
          <w:trHeight w:val="551" w:hRule="atLeast"/>
        </w:trPr>
        <w:tc>
          <w:tcPr>
            <w:tcW w:w="3417"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合计</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1,995.65</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1,874.53</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121.12</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9"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204</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公共安全支出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1,750.24</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1,629.11</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121.12</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68"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20404</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检察</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1,750.24</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1,629.11</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121.12</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48"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2040401</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行政运行</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1,587.97</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1,587.97</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6"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2040402</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一般行政管理事务</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121.12</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121.12</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63"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2040410</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检察监督</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41.15</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41.15</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8"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205</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教育支出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7.16</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7.16</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2" w:hRule="atLeast"/>
        </w:trPr>
        <w:tc>
          <w:tcPr>
            <w:tcW w:w="1020" w:type="dxa"/>
            <w:gridSpan w:val="3"/>
            <w:tcBorders>
              <w:top w:val="nil"/>
              <w:left w:val="single" w:color="000000" w:sz="4" w:space="0"/>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20508</w:t>
            </w:r>
          </w:p>
        </w:tc>
        <w:tc>
          <w:tcPr>
            <w:tcW w:w="2397" w:type="dxa"/>
            <w:gridSpan w:val="2"/>
            <w:tcBorders>
              <w:top w:val="nil"/>
              <w:left w:val="nil"/>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进修及培训</w:t>
            </w:r>
          </w:p>
        </w:tc>
        <w:tc>
          <w:tcPr>
            <w:tcW w:w="1985" w:type="dxa"/>
            <w:gridSpan w:val="2"/>
            <w:tcBorders>
              <w:top w:val="nil"/>
              <w:left w:val="nil"/>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7.16</w:t>
            </w:r>
          </w:p>
        </w:tc>
        <w:tc>
          <w:tcPr>
            <w:tcW w:w="1701" w:type="dxa"/>
            <w:gridSpan w:val="3"/>
            <w:tcBorders>
              <w:top w:val="nil"/>
              <w:left w:val="nil"/>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7.16</w:t>
            </w:r>
          </w:p>
        </w:tc>
        <w:tc>
          <w:tcPr>
            <w:tcW w:w="2064" w:type="dxa"/>
            <w:gridSpan w:val="2"/>
            <w:tcBorders>
              <w:top w:val="nil"/>
              <w:left w:val="nil"/>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auto"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702" w:hRule="atLeast"/>
        </w:trPr>
        <w:tc>
          <w:tcPr>
            <w:tcW w:w="10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Arial"/>
                <w:sz w:val="20"/>
                <w:szCs w:val="20"/>
              </w:rPr>
            </w:pPr>
            <w:r>
              <w:rPr>
                <w:rFonts w:hint="eastAsia" w:cs="Arial"/>
                <w:sz w:val="20"/>
                <w:szCs w:val="20"/>
              </w:rPr>
              <w:t>2050803</w:t>
            </w:r>
          </w:p>
        </w:tc>
        <w:tc>
          <w:tcPr>
            <w:tcW w:w="2397" w:type="dxa"/>
            <w:gridSpan w:val="2"/>
            <w:tcBorders>
              <w:top w:val="single" w:color="auto" w:sz="4" w:space="0"/>
              <w:left w:val="single" w:color="auto" w:sz="4" w:space="0"/>
              <w:bottom w:val="single" w:color="auto" w:sz="4" w:space="0"/>
              <w:right w:val="single" w:color="auto" w:sz="4" w:space="0"/>
            </w:tcBorders>
            <w:shd w:val="clear" w:color="000000" w:fill="CCFFFF"/>
            <w:noWrap/>
            <w:vAlign w:val="center"/>
          </w:tcPr>
          <w:p>
            <w:pPr>
              <w:jc w:val="center"/>
              <w:rPr>
                <w:rFonts w:cs="Arial"/>
                <w:sz w:val="20"/>
                <w:szCs w:val="20"/>
              </w:rPr>
            </w:pPr>
            <w:r>
              <w:rPr>
                <w:rFonts w:hint="eastAsia" w:cs="Arial"/>
                <w:sz w:val="20"/>
                <w:szCs w:val="20"/>
              </w:rPr>
              <w:t>培训支出</w:t>
            </w:r>
          </w:p>
        </w:tc>
        <w:tc>
          <w:tcPr>
            <w:tcW w:w="198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Arial"/>
                <w:sz w:val="20"/>
                <w:szCs w:val="20"/>
              </w:rPr>
            </w:pPr>
            <w:r>
              <w:rPr>
                <w:rFonts w:hint="eastAsia" w:cs="Arial"/>
                <w:sz w:val="20"/>
                <w:szCs w:val="20"/>
              </w:rPr>
              <w:t>7.16</w:t>
            </w:r>
          </w:p>
        </w:tc>
        <w:tc>
          <w:tcPr>
            <w:tcW w:w="170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Arial"/>
                <w:sz w:val="20"/>
                <w:szCs w:val="20"/>
              </w:rPr>
            </w:pPr>
            <w:r>
              <w:rPr>
                <w:rFonts w:hint="eastAsia" w:cs="Arial"/>
                <w:sz w:val="20"/>
                <w:szCs w:val="20"/>
              </w:rPr>
              <w:t>7.16</w:t>
            </w:r>
          </w:p>
        </w:tc>
        <w:tc>
          <w:tcPr>
            <w:tcW w:w="20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699" w:hRule="atLeast"/>
        </w:trPr>
        <w:tc>
          <w:tcPr>
            <w:tcW w:w="1020" w:type="dxa"/>
            <w:gridSpan w:val="3"/>
            <w:tcBorders>
              <w:top w:val="single" w:color="auto" w:sz="4" w:space="0"/>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208</w:t>
            </w:r>
          </w:p>
        </w:tc>
        <w:tc>
          <w:tcPr>
            <w:tcW w:w="2397" w:type="dxa"/>
            <w:gridSpan w:val="2"/>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社会保障和就业支出</w:t>
            </w:r>
          </w:p>
        </w:tc>
        <w:tc>
          <w:tcPr>
            <w:tcW w:w="1985" w:type="dxa"/>
            <w:gridSpan w:val="2"/>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78.13</w:t>
            </w:r>
          </w:p>
        </w:tc>
        <w:tc>
          <w:tcPr>
            <w:tcW w:w="1701" w:type="dxa"/>
            <w:gridSpan w:val="3"/>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78.13</w:t>
            </w:r>
          </w:p>
        </w:tc>
        <w:tc>
          <w:tcPr>
            <w:tcW w:w="2064" w:type="dxa"/>
            <w:gridSpan w:val="2"/>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709"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20805</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行政事业单位养老支出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76.13</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76.13</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689"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2080505</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机关事业单位基本养老保险缴费支出</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76.13</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76.13</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7"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20899</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其他社会保障和就业支出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2.00</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66"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2089901</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其他社会保障和就业支出</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2.00</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46"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210</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卫生健康支出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62.13</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62.13</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68"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21011</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行政事业单位医疗</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62.13</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62.13</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62"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2101101</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行政单位医疗</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45.63</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45.63</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2"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2101103</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公务员医疗补助</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16.50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16.50</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6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221</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住房保障支出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8"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22102</w:t>
            </w:r>
          </w:p>
        </w:tc>
        <w:tc>
          <w:tcPr>
            <w:tcW w:w="2397"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住房改革支出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98.00</w:t>
            </w:r>
          </w:p>
        </w:tc>
        <w:tc>
          <w:tcPr>
            <w:tcW w:w="2064"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701"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c>
          <w:tcPr>
            <w:tcW w:w="1480"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552"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2210201</w:t>
            </w:r>
          </w:p>
        </w:tc>
        <w:tc>
          <w:tcPr>
            <w:tcW w:w="2397" w:type="dxa"/>
            <w:gridSpan w:val="2"/>
            <w:tcBorders>
              <w:top w:val="nil"/>
              <w:left w:val="nil"/>
              <w:bottom w:val="single" w:color="000000" w:sz="4" w:space="0"/>
              <w:right w:val="single" w:color="000000" w:sz="4" w:space="0"/>
            </w:tcBorders>
            <w:shd w:val="clear" w:color="000000" w:fill="CCFFFF"/>
            <w:noWrap/>
            <w:vAlign w:val="center"/>
          </w:tcPr>
          <w:p>
            <w:pPr>
              <w:jc w:val="center"/>
              <w:rPr>
                <w:rFonts w:cs="Arial"/>
                <w:sz w:val="20"/>
                <w:szCs w:val="20"/>
              </w:rPr>
            </w:pPr>
            <w:r>
              <w:rPr>
                <w:rFonts w:hint="eastAsia" w:cs="Arial"/>
                <w:sz w:val="20"/>
                <w:szCs w:val="20"/>
              </w:rPr>
              <w:t>住房公积金</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98.00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98.00</w:t>
            </w:r>
          </w:p>
        </w:tc>
        <w:tc>
          <w:tcPr>
            <w:tcW w:w="2064"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701" w:type="dxa"/>
            <w:gridSpan w:val="2"/>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c>
          <w:tcPr>
            <w:tcW w:w="1480" w:type="dxa"/>
            <w:tcBorders>
              <w:top w:val="nil"/>
              <w:left w:val="nil"/>
              <w:bottom w:val="single" w:color="000000" w:sz="4" w:space="0"/>
              <w:right w:val="single" w:color="000000" w:sz="4" w:space="0"/>
            </w:tcBorders>
            <w:shd w:val="clear" w:color="000000" w:fill="FFFFFF"/>
            <w:noWrap/>
            <w:vAlign w:val="center"/>
          </w:tcPr>
          <w:p>
            <w:pPr>
              <w:jc w:val="center"/>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2"/>
          <w:wBefore w:w="93" w:type="dxa"/>
          <w:wAfter w:w="1980" w:type="dxa"/>
          <w:trHeight w:val="300" w:hRule="atLeast"/>
        </w:trPr>
        <w:tc>
          <w:tcPr>
            <w:tcW w:w="13907" w:type="dxa"/>
            <w:gridSpan w:val="18"/>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注：本表反映部门本年度各项支出情况。</w:t>
            </w:r>
          </w:p>
        </w:tc>
      </w:tr>
    </w:tbl>
    <w:p>
      <w:pPr>
        <w:pStyle w:val="14"/>
        <w:spacing w:before="0" w:beforeAutospacing="0"/>
        <w:outlineLvl w:val="1"/>
        <w:rPr>
          <w:shd w:val="clear" w:color="auto" w:fill="FFFFFF"/>
        </w:rPr>
        <w:sectPr>
          <w:pgSz w:w="16851" w:h="11915" w:orient="landscape"/>
          <w:pgMar w:top="1800" w:right="1440" w:bottom="1800" w:left="1440" w:header="851" w:footer="992" w:gutter="0"/>
          <w:cols w:space="720" w:num="1"/>
          <w:docGrid w:type="lines" w:linePitch="312" w:charSpace="0"/>
        </w:sectPr>
      </w:pPr>
    </w:p>
    <w:p>
      <w:pPr>
        <w:pStyle w:val="14"/>
        <w:spacing w:before="0" w:beforeAutospacing="0"/>
        <w:ind w:firstLine="640" w:firstLineChars="200"/>
        <w:outlineLvl w:val="1"/>
        <w:rPr>
          <w:rFonts w:ascii="黑体" w:hAnsi="黑体" w:eastAsia="黑体" w:cs="楷体"/>
          <w:sz w:val="32"/>
          <w:szCs w:val="32"/>
          <w:shd w:val="clear" w:color="auto" w:fill="FFFFFF"/>
        </w:rPr>
      </w:pPr>
      <w:bookmarkStart w:id="9" w:name="_Toc20129"/>
      <w:r>
        <w:rPr>
          <w:rFonts w:hint="eastAsia" w:ascii="黑体" w:hAnsi="黑体" w:eastAsia="黑体" w:cs="楷体"/>
          <w:sz w:val="32"/>
          <w:szCs w:val="32"/>
          <w:shd w:val="clear" w:color="auto" w:fill="FFFFFF"/>
        </w:rPr>
        <w:t>四、财政拨款收入支出决算总表</w:t>
      </w:r>
      <w:bookmarkEnd w:id="9"/>
      <w:r>
        <w:rPr>
          <w:rFonts w:hint="eastAsia" w:ascii="黑体" w:hAnsi="黑体" w:eastAsia="黑体" w:cs="楷体"/>
          <w:sz w:val="32"/>
          <w:szCs w:val="32"/>
          <w:shd w:val="clear" w:color="auto" w:fill="FFFFFF"/>
        </w:rPr>
        <w:t xml:space="preserve">    </w:t>
      </w:r>
    </w:p>
    <w:tbl>
      <w:tblPr>
        <w:tblStyle w:val="15"/>
        <w:tblW w:w="15014" w:type="dxa"/>
        <w:tblInd w:w="93" w:type="dxa"/>
        <w:tblLayout w:type="autofit"/>
        <w:tblCellMar>
          <w:top w:w="0" w:type="dxa"/>
          <w:left w:w="108" w:type="dxa"/>
          <w:bottom w:w="0" w:type="dxa"/>
          <w:right w:w="108" w:type="dxa"/>
        </w:tblCellMar>
      </w:tblPr>
      <w:tblGrid>
        <w:gridCol w:w="2000"/>
        <w:gridCol w:w="567"/>
        <w:gridCol w:w="730"/>
        <w:gridCol w:w="587"/>
        <w:gridCol w:w="236"/>
        <w:gridCol w:w="573"/>
        <w:gridCol w:w="3119"/>
        <w:gridCol w:w="708"/>
        <w:gridCol w:w="918"/>
        <w:gridCol w:w="642"/>
        <w:gridCol w:w="323"/>
        <w:gridCol w:w="715"/>
        <w:gridCol w:w="265"/>
        <w:gridCol w:w="114"/>
        <w:gridCol w:w="122"/>
        <w:gridCol w:w="464"/>
        <w:gridCol w:w="265"/>
        <w:gridCol w:w="236"/>
        <w:gridCol w:w="1465"/>
        <w:gridCol w:w="965"/>
      </w:tblGrid>
      <w:tr>
        <w:tblPrEx>
          <w:tblCellMar>
            <w:top w:w="0" w:type="dxa"/>
            <w:left w:w="108" w:type="dxa"/>
            <w:bottom w:w="0" w:type="dxa"/>
            <w:right w:w="108" w:type="dxa"/>
          </w:tblCellMar>
        </w:tblPrEx>
        <w:trPr>
          <w:trHeight w:val="300" w:hRule="atLeast"/>
        </w:trPr>
        <w:tc>
          <w:tcPr>
            <w:tcW w:w="3297"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587"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5318" w:type="dxa"/>
            <w:gridSpan w:val="4"/>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65"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680" w:type="dxa"/>
            <w:gridSpan w:val="5"/>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65"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430" w:type="dxa"/>
            <w:gridSpan w:val="2"/>
            <w:tcBorders>
              <w:top w:val="nil"/>
              <w:left w:val="nil"/>
              <w:bottom w:val="nil"/>
              <w:right w:val="single" w:color="808080" w:sz="4" w:space="0"/>
            </w:tcBorders>
            <w:shd w:val="clear" w:color="000000" w:fill="FFFFFF"/>
            <w:noWrap/>
            <w:vAlign w:val="center"/>
          </w:tcPr>
          <w:p>
            <w:pPr>
              <w:ind w:right="440"/>
              <w:rPr>
                <w:rFonts w:cs="Arial"/>
                <w:color w:val="000000"/>
                <w:sz w:val="22"/>
                <w:szCs w:val="22"/>
              </w:rPr>
            </w:pPr>
            <w:r>
              <w:rPr>
                <w:rFonts w:hint="eastAsia" w:cs="Arial"/>
                <w:color w:val="000000"/>
                <w:sz w:val="22"/>
                <w:szCs w:val="22"/>
              </w:rPr>
              <w:t>公开04表</w:t>
            </w:r>
          </w:p>
        </w:tc>
      </w:tr>
      <w:tr>
        <w:tblPrEx>
          <w:tblCellMar>
            <w:top w:w="0" w:type="dxa"/>
            <w:left w:w="108" w:type="dxa"/>
            <w:bottom w:w="0" w:type="dxa"/>
            <w:right w:w="108" w:type="dxa"/>
          </w:tblCellMar>
        </w:tblPrEx>
        <w:trPr>
          <w:gridAfter w:val="1"/>
          <w:wAfter w:w="965" w:type="dxa"/>
          <w:trHeight w:val="300" w:hRule="atLeast"/>
        </w:trPr>
        <w:tc>
          <w:tcPr>
            <w:tcW w:w="3297" w:type="dxa"/>
            <w:gridSpan w:val="3"/>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部门：娄底市娄星区人民检察院</w:t>
            </w:r>
          </w:p>
        </w:tc>
        <w:tc>
          <w:tcPr>
            <w:tcW w:w="587"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6"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5318" w:type="dxa"/>
            <w:gridSpan w:val="4"/>
            <w:tcBorders>
              <w:top w:val="nil"/>
              <w:left w:val="nil"/>
              <w:bottom w:val="single" w:color="808080" w:sz="4" w:space="0"/>
              <w:right w:val="nil"/>
            </w:tcBorders>
            <w:shd w:val="clear" w:color="000000" w:fill="FFFFFF"/>
            <w:noWrap/>
            <w:vAlign w:val="center"/>
          </w:tcPr>
          <w:p>
            <w:pPr>
              <w:ind w:firstLine="1710" w:firstLineChars="950"/>
              <w:rPr>
                <w:rFonts w:cs="Arial"/>
                <w:sz w:val="18"/>
                <w:szCs w:val="18"/>
              </w:rPr>
            </w:pPr>
            <w:r>
              <w:rPr>
                <w:rFonts w:hint="eastAsia" w:cs="Arial"/>
                <w:sz w:val="18"/>
                <w:szCs w:val="18"/>
              </w:rPr>
              <w:t>　</w:t>
            </w:r>
            <w:r>
              <w:rPr>
                <w:rFonts w:hint="eastAsia" w:cs="Arial"/>
                <w:color w:val="000000"/>
                <w:sz w:val="22"/>
                <w:szCs w:val="22"/>
              </w:rPr>
              <w:t>2020年度</w:t>
            </w:r>
          </w:p>
        </w:tc>
        <w:tc>
          <w:tcPr>
            <w:tcW w:w="1680" w:type="dxa"/>
            <w:gridSpan w:val="3"/>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xml:space="preserve">　                     </w:t>
            </w:r>
          </w:p>
        </w:tc>
        <w:tc>
          <w:tcPr>
            <w:tcW w:w="265"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6" w:type="dxa"/>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430" w:type="dxa"/>
            <w:gridSpan w:val="4"/>
            <w:tcBorders>
              <w:top w:val="nil"/>
              <w:left w:val="nil"/>
              <w:bottom w:val="single" w:color="808080" w:sz="4" w:space="0"/>
              <w:right w:val="single" w:color="808080" w:sz="4" w:space="0"/>
            </w:tcBorders>
            <w:shd w:val="clear" w:color="000000" w:fill="FFFFFF"/>
            <w:noWrap/>
            <w:vAlign w:val="center"/>
          </w:tcPr>
          <w:p>
            <w:pPr>
              <w:ind w:right="-879" w:firstLine="660" w:firstLineChars="300"/>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gridAfter w:val="1"/>
          <w:wAfter w:w="965" w:type="dxa"/>
          <w:trHeight w:val="300" w:hRule="atLeast"/>
        </w:trPr>
        <w:tc>
          <w:tcPr>
            <w:tcW w:w="4693" w:type="dxa"/>
            <w:gridSpan w:val="6"/>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收     入</w:t>
            </w:r>
          </w:p>
        </w:tc>
        <w:tc>
          <w:tcPr>
            <w:tcW w:w="9356" w:type="dxa"/>
            <w:gridSpan w:val="13"/>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支     出</w:t>
            </w:r>
          </w:p>
        </w:tc>
      </w:tr>
      <w:tr>
        <w:tblPrEx>
          <w:tblCellMar>
            <w:top w:w="0" w:type="dxa"/>
            <w:left w:w="108" w:type="dxa"/>
            <w:bottom w:w="0" w:type="dxa"/>
            <w:right w:w="108" w:type="dxa"/>
          </w:tblCellMar>
        </w:tblPrEx>
        <w:trPr>
          <w:gridAfter w:val="1"/>
          <w:wAfter w:w="965" w:type="dxa"/>
          <w:trHeight w:val="285" w:hRule="atLeast"/>
        </w:trPr>
        <w:tc>
          <w:tcPr>
            <w:tcW w:w="2000" w:type="dxa"/>
            <w:vMerge w:val="restart"/>
            <w:tcBorders>
              <w:top w:val="nil"/>
              <w:left w:val="single" w:color="000000" w:sz="4" w:space="0"/>
              <w:bottom w:val="single" w:color="000000" w:sz="4" w:space="0"/>
              <w:right w:val="single" w:color="000000" w:sz="4" w:space="0"/>
            </w:tcBorders>
            <w:shd w:val="clear" w:color="000000" w:fill="C0C0C0"/>
            <w:vAlign w:val="center"/>
          </w:tcPr>
          <w:p>
            <w:pPr>
              <w:rPr>
                <w:rFonts w:cs="Arial"/>
                <w:sz w:val="20"/>
                <w:szCs w:val="20"/>
              </w:rPr>
            </w:pPr>
            <w:r>
              <w:rPr>
                <w:rFonts w:hint="eastAsia" w:cs="Arial"/>
                <w:sz w:val="20"/>
                <w:szCs w:val="20"/>
              </w:rPr>
              <w:t>项目</w:t>
            </w:r>
          </w:p>
        </w:tc>
        <w:tc>
          <w:tcPr>
            <w:tcW w:w="567"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行次</w:t>
            </w:r>
          </w:p>
        </w:tc>
        <w:tc>
          <w:tcPr>
            <w:tcW w:w="2126" w:type="dxa"/>
            <w:gridSpan w:val="4"/>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金额</w:t>
            </w:r>
          </w:p>
        </w:tc>
        <w:tc>
          <w:tcPr>
            <w:tcW w:w="3119" w:type="dxa"/>
            <w:vMerge w:val="restart"/>
            <w:tcBorders>
              <w:top w:val="nil"/>
              <w:left w:val="nil"/>
              <w:bottom w:val="single" w:color="000000" w:sz="4" w:space="0"/>
              <w:right w:val="single" w:color="000000" w:sz="4" w:space="0"/>
            </w:tcBorders>
            <w:shd w:val="clear" w:color="000000" w:fill="C0C0C0"/>
            <w:vAlign w:val="bottom"/>
          </w:tcPr>
          <w:p>
            <w:pPr>
              <w:rPr>
                <w:rFonts w:cs="Arial"/>
                <w:sz w:val="20"/>
                <w:szCs w:val="20"/>
              </w:rPr>
            </w:pPr>
            <w:r>
              <w:rPr>
                <w:rFonts w:hint="eastAsia" w:cs="Arial"/>
                <w:sz w:val="20"/>
                <w:szCs w:val="20"/>
              </w:rPr>
              <w:t>项目</w:t>
            </w:r>
          </w:p>
        </w:tc>
        <w:tc>
          <w:tcPr>
            <w:tcW w:w="708"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行次</w:t>
            </w:r>
          </w:p>
        </w:tc>
        <w:tc>
          <w:tcPr>
            <w:tcW w:w="1560" w:type="dxa"/>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合计</w:t>
            </w:r>
          </w:p>
        </w:tc>
        <w:tc>
          <w:tcPr>
            <w:tcW w:w="1417" w:type="dxa"/>
            <w:gridSpan w:val="4"/>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一般公共预算财政拨款</w:t>
            </w:r>
          </w:p>
        </w:tc>
        <w:tc>
          <w:tcPr>
            <w:tcW w:w="1087" w:type="dxa"/>
            <w:gridSpan w:val="4"/>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政府性基金预算财政拨款</w:t>
            </w:r>
          </w:p>
        </w:tc>
        <w:tc>
          <w:tcPr>
            <w:tcW w:w="1465"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国有资本经营预算财政拨款</w:t>
            </w:r>
          </w:p>
        </w:tc>
      </w:tr>
      <w:tr>
        <w:tblPrEx>
          <w:tblCellMar>
            <w:top w:w="0" w:type="dxa"/>
            <w:left w:w="108" w:type="dxa"/>
            <w:bottom w:w="0" w:type="dxa"/>
            <w:right w:w="108" w:type="dxa"/>
          </w:tblCellMar>
        </w:tblPrEx>
        <w:trPr>
          <w:gridAfter w:val="1"/>
          <w:wAfter w:w="965" w:type="dxa"/>
          <w:trHeight w:val="600" w:hRule="atLeast"/>
        </w:trPr>
        <w:tc>
          <w:tcPr>
            <w:tcW w:w="2000" w:type="dxa"/>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56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2126" w:type="dxa"/>
            <w:gridSpan w:val="4"/>
            <w:vMerge w:val="continue"/>
            <w:tcBorders>
              <w:top w:val="nil"/>
              <w:left w:val="nil"/>
              <w:bottom w:val="single" w:color="000000" w:sz="4" w:space="0"/>
              <w:right w:val="single" w:color="000000" w:sz="4" w:space="0"/>
            </w:tcBorders>
            <w:vAlign w:val="center"/>
          </w:tcPr>
          <w:p>
            <w:pPr>
              <w:rPr>
                <w:rFonts w:cs="Arial"/>
                <w:sz w:val="20"/>
                <w:szCs w:val="20"/>
              </w:rPr>
            </w:pPr>
          </w:p>
        </w:tc>
        <w:tc>
          <w:tcPr>
            <w:tcW w:w="311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708"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56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417" w:type="dxa"/>
            <w:gridSpan w:val="4"/>
            <w:vMerge w:val="continue"/>
            <w:tcBorders>
              <w:top w:val="nil"/>
              <w:left w:val="nil"/>
              <w:bottom w:val="single" w:color="000000" w:sz="4" w:space="0"/>
              <w:right w:val="single" w:color="000000" w:sz="4" w:space="0"/>
            </w:tcBorders>
            <w:vAlign w:val="center"/>
          </w:tcPr>
          <w:p>
            <w:pPr>
              <w:rPr>
                <w:rFonts w:cs="Arial"/>
                <w:sz w:val="20"/>
                <w:szCs w:val="20"/>
              </w:rPr>
            </w:pPr>
          </w:p>
        </w:tc>
        <w:tc>
          <w:tcPr>
            <w:tcW w:w="1087" w:type="dxa"/>
            <w:gridSpan w:val="4"/>
            <w:vMerge w:val="continue"/>
            <w:tcBorders>
              <w:top w:val="nil"/>
              <w:left w:val="nil"/>
              <w:bottom w:val="single" w:color="000000" w:sz="4" w:space="0"/>
              <w:right w:val="single" w:color="000000" w:sz="4" w:space="0"/>
            </w:tcBorders>
            <w:vAlign w:val="center"/>
          </w:tcPr>
          <w:p>
            <w:pPr>
              <w:rPr>
                <w:rFonts w:cs="Arial"/>
                <w:sz w:val="20"/>
                <w:szCs w:val="20"/>
              </w:rPr>
            </w:pPr>
          </w:p>
        </w:tc>
        <w:tc>
          <w:tcPr>
            <w:tcW w:w="1465"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栏次</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　</w:t>
            </w:r>
          </w:p>
        </w:tc>
        <w:tc>
          <w:tcPr>
            <w:tcW w:w="2126" w:type="dxa"/>
            <w:gridSpan w:val="4"/>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3119" w:type="dxa"/>
            <w:tcBorders>
              <w:top w:val="nil"/>
              <w:left w:val="nil"/>
              <w:bottom w:val="single" w:color="000000" w:sz="4" w:space="0"/>
              <w:right w:val="single" w:color="000000" w:sz="4" w:space="0"/>
            </w:tcBorders>
            <w:shd w:val="clear" w:color="000000" w:fill="C0C0C0"/>
            <w:noWrap/>
            <w:vAlign w:val="bottom"/>
          </w:tcPr>
          <w:p>
            <w:pPr>
              <w:rPr>
                <w:rFonts w:cs="Arial"/>
                <w:sz w:val="20"/>
                <w:szCs w:val="20"/>
              </w:rPr>
            </w:pPr>
            <w:r>
              <w:rPr>
                <w:rFonts w:hint="eastAsia" w:cs="Arial"/>
                <w:sz w:val="20"/>
                <w:szCs w:val="20"/>
              </w:rPr>
              <w:t>栏次</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　</w:t>
            </w:r>
          </w:p>
        </w:tc>
        <w:tc>
          <w:tcPr>
            <w:tcW w:w="1560"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1417" w:type="dxa"/>
            <w:gridSpan w:val="4"/>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c>
          <w:tcPr>
            <w:tcW w:w="1087" w:type="dxa"/>
            <w:gridSpan w:val="4"/>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w:t>
            </w:r>
          </w:p>
        </w:tc>
        <w:tc>
          <w:tcPr>
            <w:tcW w:w="1465"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一、一般公共预算财政拨款</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1,683.61</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一、一般公共服务支出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33</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二、政府性基金预算财政拨款</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二、外交支出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34</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三、国有资本经营财政拨款</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三、国防支出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35</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四、公共安全支出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36</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1,451.74</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1,451.74</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五、教育支出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37</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7.16</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7.16</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六、科学技术支出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38</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7</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七、文化旅游体育与传媒支出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39</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8</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八、社会保障和就业支出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40</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77.09</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77.09</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9</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九、卫生健康支出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41</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61.50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61.50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10</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十、节能环保支出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42</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11</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十一、城乡社区支出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43</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12</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十二、农林水支出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44</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13</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十三、交通运输支出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45</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auto"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14</w:t>
            </w:r>
          </w:p>
        </w:tc>
        <w:tc>
          <w:tcPr>
            <w:tcW w:w="2126" w:type="dxa"/>
            <w:gridSpan w:val="4"/>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十四、资源勘探工业信息等支出</w:t>
            </w:r>
          </w:p>
        </w:tc>
        <w:tc>
          <w:tcPr>
            <w:tcW w:w="708" w:type="dxa"/>
            <w:tcBorders>
              <w:top w:val="nil"/>
              <w:left w:val="nil"/>
              <w:bottom w:val="single" w:color="auto"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46</w:t>
            </w:r>
          </w:p>
        </w:tc>
        <w:tc>
          <w:tcPr>
            <w:tcW w:w="1560" w:type="dxa"/>
            <w:gridSpan w:val="2"/>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15</w:t>
            </w:r>
          </w:p>
        </w:tc>
        <w:tc>
          <w:tcPr>
            <w:tcW w:w="21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十五、商业服务业等支出</w:t>
            </w:r>
          </w:p>
        </w:tc>
        <w:tc>
          <w:tcPr>
            <w:tcW w:w="70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47</w:t>
            </w:r>
          </w:p>
        </w:tc>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16</w:t>
            </w:r>
          </w:p>
        </w:tc>
        <w:tc>
          <w:tcPr>
            <w:tcW w:w="21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十六、金融支出</w:t>
            </w:r>
          </w:p>
        </w:tc>
        <w:tc>
          <w:tcPr>
            <w:tcW w:w="70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48</w:t>
            </w:r>
          </w:p>
        </w:tc>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17</w:t>
            </w:r>
          </w:p>
        </w:tc>
        <w:tc>
          <w:tcPr>
            <w:tcW w:w="21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十七、援助其他地区支出</w:t>
            </w:r>
          </w:p>
        </w:tc>
        <w:tc>
          <w:tcPr>
            <w:tcW w:w="70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49</w:t>
            </w:r>
          </w:p>
        </w:tc>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18</w:t>
            </w:r>
          </w:p>
        </w:tc>
        <w:tc>
          <w:tcPr>
            <w:tcW w:w="21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十八、自然资源海洋气象等支出</w:t>
            </w:r>
          </w:p>
        </w:tc>
        <w:tc>
          <w:tcPr>
            <w:tcW w:w="70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50</w:t>
            </w:r>
          </w:p>
        </w:tc>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19</w:t>
            </w:r>
          </w:p>
        </w:tc>
        <w:tc>
          <w:tcPr>
            <w:tcW w:w="21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十九、住房保障支出</w:t>
            </w:r>
          </w:p>
        </w:tc>
        <w:tc>
          <w:tcPr>
            <w:tcW w:w="70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51</w:t>
            </w:r>
          </w:p>
        </w:tc>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98.00</w:t>
            </w:r>
          </w:p>
        </w:tc>
        <w:tc>
          <w:tcPr>
            <w:tcW w:w="141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98.00</w:t>
            </w:r>
          </w:p>
        </w:tc>
        <w:tc>
          <w:tcPr>
            <w:tcW w:w="108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20</w:t>
            </w:r>
          </w:p>
        </w:tc>
        <w:tc>
          <w:tcPr>
            <w:tcW w:w="212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二十、粮油物资储备支出</w:t>
            </w:r>
          </w:p>
        </w:tc>
        <w:tc>
          <w:tcPr>
            <w:tcW w:w="70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cs="Arial"/>
                <w:sz w:val="20"/>
                <w:szCs w:val="20"/>
              </w:rPr>
            </w:pPr>
            <w:r>
              <w:rPr>
                <w:rFonts w:hint="eastAsia" w:cs="Arial"/>
                <w:sz w:val="20"/>
                <w:szCs w:val="20"/>
              </w:rPr>
              <w:t>52</w:t>
            </w:r>
          </w:p>
        </w:tc>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21</w:t>
            </w:r>
          </w:p>
        </w:tc>
        <w:tc>
          <w:tcPr>
            <w:tcW w:w="2126" w:type="dxa"/>
            <w:gridSpan w:val="4"/>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single" w:color="auto" w:sz="4" w:space="0"/>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二十一、国有资本经营预算支出</w:t>
            </w:r>
          </w:p>
        </w:tc>
        <w:tc>
          <w:tcPr>
            <w:tcW w:w="708"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53</w:t>
            </w:r>
          </w:p>
        </w:tc>
        <w:tc>
          <w:tcPr>
            <w:tcW w:w="1560"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22</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二十二、灾害防治及应急管理支出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54</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23</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二十三、其他支出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55</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24</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二十四、债务还本支出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56</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25</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二十五、债务付息支出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57</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26</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二十六、抗疫特别国债安排的支出</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58</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本年收入合计</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27</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1,683.61</w:t>
            </w:r>
          </w:p>
        </w:tc>
        <w:tc>
          <w:tcPr>
            <w:tcW w:w="3119" w:type="dxa"/>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本年支出合计</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59</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1,695.49</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1,695.49</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年初财政拨款结转和结余</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28</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55.16</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年末财政拨款结转和结余</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60</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43.28</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43.28</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一般公共预算财政拨款</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29</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55.16</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61</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政府性基金预算财政拨款</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30</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62</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国有资本经营预算财政拨款</w:t>
            </w:r>
          </w:p>
        </w:tc>
        <w:tc>
          <w:tcPr>
            <w:tcW w:w="567"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31</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63</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965" w:type="dxa"/>
          <w:trHeight w:val="300" w:hRule="atLeast"/>
        </w:trPr>
        <w:tc>
          <w:tcPr>
            <w:tcW w:w="200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总计</w:t>
            </w:r>
          </w:p>
        </w:tc>
        <w:tc>
          <w:tcPr>
            <w:tcW w:w="567" w:type="dxa"/>
            <w:tcBorders>
              <w:top w:val="nil"/>
              <w:left w:val="nil"/>
              <w:bottom w:val="single" w:color="000000" w:sz="12"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32</w:t>
            </w:r>
          </w:p>
        </w:tc>
        <w:tc>
          <w:tcPr>
            <w:tcW w:w="2126"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1,738.77</w:t>
            </w:r>
          </w:p>
        </w:tc>
        <w:tc>
          <w:tcPr>
            <w:tcW w:w="3119"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总计</w:t>
            </w:r>
          </w:p>
        </w:tc>
        <w:tc>
          <w:tcPr>
            <w:tcW w:w="708"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64</w:t>
            </w:r>
          </w:p>
        </w:tc>
        <w:tc>
          <w:tcPr>
            <w:tcW w:w="156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1,738.77</w:t>
            </w:r>
          </w:p>
        </w:tc>
        <w:tc>
          <w:tcPr>
            <w:tcW w:w="141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1,738.77</w:t>
            </w:r>
          </w:p>
        </w:tc>
        <w:tc>
          <w:tcPr>
            <w:tcW w:w="1087" w:type="dxa"/>
            <w:gridSpan w:val="4"/>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465"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300" w:hRule="atLeast"/>
        </w:trPr>
        <w:tc>
          <w:tcPr>
            <w:tcW w:w="12584" w:type="dxa"/>
            <w:gridSpan w:val="18"/>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注：本表反映部门本年度一般公共预算财政拨款、政府性基金预算财政拨款和国有资本经营预算财政拨款的总收支和年末结转结余情况。</w:t>
            </w:r>
          </w:p>
        </w:tc>
        <w:tc>
          <w:tcPr>
            <w:tcW w:w="1465" w:type="dxa"/>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　</w:t>
            </w:r>
          </w:p>
        </w:tc>
      </w:tr>
    </w:tbl>
    <w:p>
      <w:pPr>
        <w:pStyle w:val="14"/>
        <w:adjustRightInd w:val="0"/>
        <w:snapToGrid w:val="0"/>
        <w:spacing w:before="0" w:beforeAutospacing="0" w:after="0" w:afterAutospacing="0" w:line="400" w:lineRule="exact"/>
        <w:outlineLvl w:val="1"/>
        <w:rPr>
          <w:rFonts w:ascii="楷体_GB2312" w:hAnsi="黑体" w:eastAsia="楷体_GB2312" w:cs="黑体"/>
          <w:sz w:val="32"/>
          <w:szCs w:val="32"/>
          <w:shd w:val="clear" w:color="auto" w:fill="FFFFFF"/>
        </w:rPr>
      </w:pPr>
    </w:p>
    <w:p>
      <w:pPr>
        <w:pStyle w:val="14"/>
        <w:spacing w:before="0" w:beforeAutospacing="0"/>
        <w:outlineLvl w:val="1"/>
        <w:rPr>
          <w:shd w:val="clear" w:color="auto" w:fill="FFFFFF"/>
        </w:rPr>
        <w:sectPr>
          <w:pgSz w:w="16851" w:h="11915" w:orient="landscape"/>
          <w:pgMar w:top="1800" w:right="1440" w:bottom="1800" w:left="1440" w:header="851" w:footer="992" w:gutter="0"/>
          <w:cols w:space="720" w:num="1"/>
          <w:docGrid w:type="lines" w:linePitch="326" w:charSpace="0"/>
        </w:sectPr>
      </w:pPr>
    </w:p>
    <w:p>
      <w:pPr>
        <w:pStyle w:val="14"/>
        <w:adjustRightInd w:val="0"/>
        <w:snapToGrid w:val="0"/>
        <w:spacing w:before="0" w:beforeAutospacing="0" w:after="0" w:afterAutospacing="0"/>
        <w:ind w:firstLine="480" w:firstLineChars="150"/>
        <w:outlineLvl w:val="1"/>
        <w:rPr>
          <w:rFonts w:ascii="黑体" w:hAnsi="黑体" w:eastAsia="黑体" w:cs="楷体"/>
          <w:sz w:val="32"/>
          <w:szCs w:val="32"/>
          <w:shd w:val="clear" w:color="auto" w:fill="FFFFFF"/>
        </w:rPr>
      </w:pPr>
      <w:bookmarkStart w:id="10" w:name="_Toc32082"/>
      <w:r>
        <w:rPr>
          <w:rFonts w:hint="eastAsia" w:ascii="黑体" w:hAnsi="黑体" w:eastAsia="黑体" w:cs="楷体"/>
          <w:sz w:val="32"/>
          <w:szCs w:val="32"/>
          <w:shd w:val="clear" w:color="auto" w:fill="FFFFFF"/>
        </w:rPr>
        <w:t>五、一般公共预算财政拨款支出决算表</w:t>
      </w:r>
      <w:bookmarkEnd w:id="10"/>
    </w:p>
    <w:tbl>
      <w:tblPr>
        <w:tblStyle w:val="15"/>
        <w:tblW w:w="9307" w:type="dxa"/>
        <w:tblInd w:w="10" w:type="dxa"/>
        <w:tblLayout w:type="autofit"/>
        <w:tblCellMar>
          <w:top w:w="0" w:type="dxa"/>
          <w:left w:w="108" w:type="dxa"/>
          <w:bottom w:w="0" w:type="dxa"/>
          <w:right w:w="108" w:type="dxa"/>
        </w:tblCellMar>
      </w:tblPr>
      <w:tblGrid>
        <w:gridCol w:w="1091"/>
        <w:gridCol w:w="128"/>
        <w:gridCol w:w="1336"/>
        <w:gridCol w:w="520"/>
        <w:gridCol w:w="517"/>
        <w:gridCol w:w="1468"/>
        <w:gridCol w:w="1425"/>
        <w:gridCol w:w="236"/>
        <w:gridCol w:w="40"/>
        <w:gridCol w:w="191"/>
        <w:gridCol w:w="1609"/>
        <w:gridCol w:w="420"/>
        <w:gridCol w:w="326"/>
      </w:tblGrid>
      <w:tr>
        <w:tblPrEx>
          <w:tblCellMar>
            <w:top w:w="0" w:type="dxa"/>
            <w:left w:w="108" w:type="dxa"/>
            <w:bottom w:w="0" w:type="dxa"/>
            <w:right w:w="108" w:type="dxa"/>
          </w:tblCellMar>
        </w:tblPrEx>
        <w:trPr>
          <w:gridAfter w:val="1"/>
          <w:wAfter w:w="326" w:type="dxa"/>
          <w:trHeight w:val="143" w:hRule="atLeast"/>
        </w:trPr>
        <w:tc>
          <w:tcPr>
            <w:tcW w:w="1219"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3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930" w:type="dxa"/>
            <w:gridSpan w:val="4"/>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260" w:type="dxa"/>
            <w:gridSpan w:val="4"/>
            <w:tcBorders>
              <w:top w:val="nil"/>
              <w:left w:val="nil"/>
              <w:bottom w:val="nil"/>
              <w:right w:val="single" w:color="808080" w:sz="4" w:space="0"/>
            </w:tcBorders>
            <w:shd w:val="clear" w:color="000000" w:fill="FFFFFF"/>
            <w:noWrap/>
            <w:vAlign w:val="center"/>
          </w:tcPr>
          <w:p>
            <w:pPr>
              <w:ind w:right="686" w:rightChars="286"/>
              <w:jc w:val="right"/>
              <w:rPr>
                <w:rFonts w:cs="Arial"/>
                <w:color w:val="000000"/>
                <w:sz w:val="22"/>
                <w:szCs w:val="22"/>
              </w:rPr>
            </w:pPr>
            <w:r>
              <w:rPr>
                <w:rFonts w:hint="eastAsia" w:cs="Arial"/>
                <w:color w:val="000000"/>
                <w:sz w:val="22"/>
                <w:szCs w:val="22"/>
              </w:rPr>
              <w:t>公开05表</w:t>
            </w:r>
          </w:p>
        </w:tc>
      </w:tr>
      <w:tr>
        <w:tblPrEx>
          <w:tblCellMar>
            <w:top w:w="0" w:type="dxa"/>
            <w:left w:w="108" w:type="dxa"/>
            <w:bottom w:w="0" w:type="dxa"/>
            <w:right w:w="108" w:type="dxa"/>
          </w:tblCellMar>
        </w:tblPrEx>
        <w:trPr>
          <w:trHeight w:val="300" w:hRule="atLeast"/>
        </w:trPr>
        <w:tc>
          <w:tcPr>
            <w:tcW w:w="3592" w:type="dxa"/>
            <w:gridSpan w:val="5"/>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部门：娄底市娄星区人民检察院</w:t>
            </w:r>
          </w:p>
        </w:tc>
        <w:tc>
          <w:tcPr>
            <w:tcW w:w="2893" w:type="dxa"/>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xml:space="preserve">　      </w:t>
            </w:r>
            <w:r>
              <w:rPr>
                <w:rFonts w:hint="eastAsia" w:cs="Arial"/>
                <w:color w:val="000000"/>
                <w:sz w:val="22"/>
                <w:szCs w:val="22"/>
              </w:rPr>
              <w:t xml:space="preserve"> 2020年度</w:t>
            </w:r>
          </w:p>
        </w:tc>
        <w:tc>
          <w:tcPr>
            <w:tcW w:w="467" w:type="dxa"/>
            <w:gridSpan w:val="3"/>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55" w:type="dxa"/>
            <w:gridSpan w:val="3"/>
            <w:tcBorders>
              <w:top w:val="nil"/>
              <w:left w:val="nil"/>
              <w:bottom w:val="single" w:color="808080" w:sz="4" w:space="0"/>
              <w:right w:val="single" w:color="808080" w:sz="4" w:space="0"/>
            </w:tcBorders>
            <w:shd w:val="clear" w:color="000000" w:fill="FFFFFF"/>
            <w:noWrap/>
            <w:vAlign w:val="center"/>
          </w:tcPr>
          <w:p>
            <w:pPr>
              <w:ind w:right="440"/>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gridAfter w:val="2"/>
          <w:wAfter w:w="746" w:type="dxa"/>
          <w:trHeight w:val="300" w:hRule="atLeast"/>
        </w:trPr>
        <w:tc>
          <w:tcPr>
            <w:tcW w:w="3075"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5486" w:type="dxa"/>
            <w:gridSpan w:val="7"/>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gridAfter w:val="2"/>
          <w:wAfter w:w="746" w:type="dxa"/>
          <w:trHeight w:val="300" w:hRule="atLeast"/>
        </w:trPr>
        <w:tc>
          <w:tcPr>
            <w:tcW w:w="1091" w:type="dxa"/>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1984" w:type="dxa"/>
            <w:gridSpan w:val="3"/>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198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1701"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180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gridAfter w:val="2"/>
          <w:wAfter w:w="746" w:type="dxa"/>
          <w:trHeight w:val="270" w:hRule="atLeast"/>
        </w:trPr>
        <w:tc>
          <w:tcPr>
            <w:tcW w:w="1091" w:type="dxa"/>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984"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01"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gridAfter w:val="2"/>
          <w:wAfter w:w="746" w:type="dxa"/>
          <w:trHeight w:val="300" w:hRule="atLeast"/>
        </w:trPr>
        <w:tc>
          <w:tcPr>
            <w:tcW w:w="1091" w:type="dxa"/>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984"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01"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gridAfter w:val="2"/>
          <w:wAfter w:w="746" w:type="dxa"/>
          <w:trHeight w:val="300" w:hRule="atLeast"/>
        </w:trPr>
        <w:tc>
          <w:tcPr>
            <w:tcW w:w="3075" w:type="dxa"/>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gridAfter w:val="2"/>
          <w:wAfter w:w="746" w:type="dxa"/>
          <w:trHeight w:val="300" w:hRule="atLeast"/>
        </w:trPr>
        <w:tc>
          <w:tcPr>
            <w:tcW w:w="3075"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合计</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1,695.49</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1,574.37</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121.12</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公共安全支出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1,451.74</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1,330.62</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121.12</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20404</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检察</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1,451.74</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1,330.62</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121.12</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2040401</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行政运行</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1,297.47</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1,297.47</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2040402</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一般行政管理事务</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121.12</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121.12</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2040410</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检察监督</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33.15</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33.15</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205</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教育支出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7.16</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7.16</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20508</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进修及培训</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7.16</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7.16</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2050803</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培训支出</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7.16</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7.16</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社会保障和就业支出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77.09</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77.09</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20805</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行政事业单位养老支出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75.09</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75.09</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2080505</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机关事业单位基本养老保险缴费支出</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75.09</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75.09</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20899</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其他社会保障和就业支出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2.00</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2089901</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其他社会保障和就业支出</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2.00</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卫生健康支出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61.50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61.50</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21011</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行政事业单位医疗</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61.50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61.50</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2101101</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行政单位医疗</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45.00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45.00</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2101103</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公务员医疗补助</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16.50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16.50</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2101199</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其他行政事业单位医疗支出</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住房保障支出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98.00</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22102</w:t>
            </w:r>
          </w:p>
        </w:tc>
        <w:tc>
          <w:tcPr>
            <w:tcW w:w="1984" w:type="dxa"/>
            <w:gridSpan w:val="3"/>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住房改革支出</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98.00</w:t>
            </w:r>
          </w:p>
        </w:tc>
        <w:tc>
          <w:tcPr>
            <w:tcW w:w="1800" w:type="dxa"/>
            <w:gridSpan w:val="2"/>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1091" w:type="dxa"/>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2210201</w:t>
            </w:r>
          </w:p>
        </w:tc>
        <w:tc>
          <w:tcPr>
            <w:tcW w:w="1984" w:type="dxa"/>
            <w:gridSpan w:val="3"/>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住房公积金</w:t>
            </w:r>
          </w:p>
        </w:tc>
        <w:tc>
          <w:tcPr>
            <w:tcW w:w="198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98.00</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2"/>
          <w:wAfter w:w="746" w:type="dxa"/>
          <w:trHeight w:val="300" w:hRule="atLeast"/>
        </w:trPr>
        <w:tc>
          <w:tcPr>
            <w:tcW w:w="8561" w:type="dxa"/>
            <w:gridSpan w:val="11"/>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注：本表反映部门本年度一般公共预算财政拨款支出情况。</w:t>
            </w:r>
          </w:p>
        </w:tc>
      </w:tr>
    </w:tbl>
    <w:p>
      <w:pPr>
        <w:pStyle w:val="14"/>
        <w:spacing w:before="0" w:beforeAutospacing="0"/>
        <w:outlineLvl w:val="1"/>
        <w:rPr>
          <w:shd w:val="clear" w:color="auto" w:fill="FFFFFF"/>
        </w:rPr>
        <w:sectPr>
          <w:pgSz w:w="11915" w:h="16851"/>
          <w:pgMar w:top="960" w:right="1800" w:bottom="1296" w:left="1800" w:header="851" w:footer="992" w:gutter="0"/>
          <w:cols w:space="720" w:num="1"/>
          <w:docGrid w:type="lines" w:linePitch="312" w:charSpace="0"/>
        </w:sectPr>
      </w:pPr>
    </w:p>
    <w:p>
      <w:pPr>
        <w:pStyle w:val="14"/>
        <w:spacing w:before="0" w:beforeAutospacing="0"/>
        <w:ind w:firstLine="480" w:firstLineChars="150"/>
        <w:outlineLvl w:val="1"/>
        <w:rPr>
          <w:rFonts w:ascii="黑体" w:hAnsi="黑体" w:eastAsia="黑体" w:cs="楷体"/>
          <w:sz w:val="32"/>
          <w:szCs w:val="32"/>
          <w:shd w:val="clear" w:color="auto" w:fill="FFFFFF"/>
        </w:rPr>
      </w:pPr>
      <w:bookmarkStart w:id="11" w:name="_Toc21182"/>
      <w:r>
        <w:rPr>
          <w:rFonts w:hint="eastAsia" w:ascii="黑体" w:hAnsi="黑体" w:eastAsia="黑体" w:cs="楷体"/>
          <w:sz w:val="32"/>
          <w:szCs w:val="32"/>
          <w:shd w:val="clear" w:color="auto" w:fill="FFFFFF"/>
        </w:rPr>
        <w:t>六、一般公共预算财政拨款基本支出决算表</w:t>
      </w:r>
      <w:bookmarkEnd w:id="11"/>
    </w:p>
    <w:tbl>
      <w:tblPr>
        <w:tblStyle w:val="15"/>
        <w:tblW w:w="13813" w:type="dxa"/>
        <w:tblInd w:w="0" w:type="dxa"/>
        <w:tblLayout w:type="autofit"/>
        <w:tblCellMar>
          <w:top w:w="0" w:type="dxa"/>
          <w:left w:w="0" w:type="dxa"/>
          <w:bottom w:w="0" w:type="dxa"/>
          <w:right w:w="0" w:type="dxa"/>
        </w:tblCellMar>
      </w:tblPr>
      <w:tblGrid>
        <w:gridCol w:w="740"/>
        <w:gridCol w:w="409"/>
        <w:gridCol w:w="1701"/>
        <w:gridCol w:w="1410"/>
        <w:gridCol w:w="236"/>
        <w:gridCol w:w="258"/>
        <w:gridCol w:w="790"/>
        <w:gridCol w:w="382"/>
        <w:gridCol w:w="874"/>
        <w:gridCol w:w="586"/>
        <w:gridCol w:w="197"/>
        <w:gridCol w:w="1221"/>
        <w:gridCol w:w="399"/>
        <w:gridCol w:w="377"/>
        <w:gridCol w:w="216"/>
        <w:gridCol w:w="1250"/>
        <w:gridCol w:w="334"/>
        <w:gridCol w:w="684"/>
        <w:gridCol w:w="340"/>
        <w:gridCol w:w="1219"/>
        <w:gridCol w:w="190"/>
      </w:tblGrid>
      <w:tr>
        <w:tblPrEx>
          <w:tblCellMar>
            <w:top w:w="0" w:type="dxa"/>
            <w:left w:w="0" w:type="dxa"/>
            <w:bottom w:w="0" w:type="dxa"/>
            <w:right w:w="0" w:type="dxa"/>
          </w:tblCellMar>
        </w:tblPrEx>
        <w:trPr>
          <w:gridAfter w:val="2"/>
          <w:wAfter w:w="1409" w:type="dxa"/>
          <w:trHeight w:val="300" w:hRule="atLeast"/>
        </w:trPr>
        <w:tc>
          <w:tcPr>
            <w:tcW w:w="1149" w:type="dxa"/>
            <w:gridSpan w:val="2"/>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18"/>
                <w:szCs w:val="18"/>
              </w:rPr>
            </w:pPr>
            <w:r>
              <w:rPr>
                <w:rFonts w:hint="eastAsia" w:cs="宋体"/>
                <w:color w:val="000000"/>
                <w:sz w:val="18"/>
                <w:szCs w:val="18"/>
              </w:rPr>
              <w:t>　</w:t>
            </w:r>
          </w:p>
        </w:tc>
        <w:tc>
          <w:tcPr>
            <w:tcW w:w="3605" w:type="dxa"/>
            <w:gridSpan w:val="4"/>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18"/>
                <w:szCs w:val="18"/>
              </w:rPr>
            </w:pPr>
            <w:r>
              <w:rPr>
                <w:rFonts w:hint="eastAsia" w:cs="宋体"/>
                <w:color w:val="000000"/>
                <w:sz w:val="18"/>
                <w:szCs w:val="18"/>
              </w:rPr>
              <w:t>　</w:t>
            </w:r>
          </w:p>
        </w:tc>
        <w:tc>
          <w:tcPr>
            <w:tcW w:w="1172" w:type="dxa"/>
            <w:gridSpan w:val="2"/>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18"/>
                <w:szCs w:val="18"/>
              </w:rPr>
            </w:pPr>
            <w:r>
              <w:rPr>
                <w:rFonts w:hint="eastAsia" w:cs="宋体"/>
                <w:color w:val="000000"/>
                <w:sz w:val="18"/>
                <w:szCs w:val="18"/>
              </w:rPr>
              <w:t>　</w:t>
            </w:r>
          </w:p>
        </w:tc>
        <w:tc>
          <w:tcPr>
            <w:tcW w:w="1657" w:type="dxa"/>
            <w:gridSpan w:val="3"/>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18"/>
                <w:szCs w:val="18"/>
              </w:rPr>
            </w:pPr>
            <w:r>
              <w:rPr>
                <w:rFonts w:hint="eastAsia" w:cs="宋体"/>
                <w:color w:val="000000"/>
                <w:sz w:val="18"/>
                <w:szCs w:val="18"/>
              </w:rPr>
              <w:t>　</w:t>
            </w:r>
          </w:p>
        </w:tc>
        <w:tc>
          <w:tcPr>
            <w:tcW w:w="1620" w:type="dxa"/>
            <w:gridSpan w:val="2"/>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18"/>
                <w:szCs w:val="18"/>
              </w:rPr>
            </w:pPr>
            <w:r>
              <w:rPr>
                <w:rFonts w:hint="eastAsia" w:cs="宋体"/>
                <w:color w:val="000000"/>
                <w:sz w:val="18"/>
                <w:szCs w:val="18"/>
              </w:rPr>
              <w:t>　</w:t>
            </w:r>
          </w:p>
        </w:tc>
        <w:tc>
          <w:tcPr>
            <w:tcW w:w="1843" w:type="dxa"/>
            <w:gridSpan w:val="3"/>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18"/>
                <w:szCs w:val="18"/>
              </w:rPr>
            </w:pPr>
            <w:r>
              <w:rPr>
                <w:rFonts w:hint="eastAsia" w:cs="宋体"/>
                <w:color w:val="000000"/>
                <w:sz w:val="18"/>
                <w:szCs w:val="18"/>
              </w:rPr>
              <w:t>　</w:t>
            </w:r>
          </w:p>
        </w:tc>
        <w:tc>
          <w:tcPr>
            <w:tcW w:w="1358" w:type="dxa"/>
            <w:gridSpan w:val="3"/>
            <w:tcBorders>
              <w:top w:val="nil"/>
              <w:left w:val="nil"/>
              <w:bottom w:val="nil"/>
            </w:tcBorders>
            <w:shd w:val="clear" w:color="auto" w:fill="FFFFFF"/>
            <w:noWrap/>
            <w:tcMar>
              <w:top w:w="15" w:type="dxa"/>
              <w:left w:w="15" w:type="dxa"/>
              <w:right w:w="15" w:type="dxa"/>
            </w:tcMar>
            <w:vAlign w:val="center"/>
          </w:tcPr>
          <w:p>
            <w:pPr>
              <w:jc w:val="right"/>
              <w:textAlignment w:val="center"/>
              <w:rPr>
                <w:rFonts w:cs="宋体"/>
                <w:color w:val="000000"/>
                <w:sz w:val="18"/>
                <w:szCs w:val="18"/>
              </w:rPr>
            </w:pPr>
            <w:r>
              <w:rPr>
                <w:rFonts w:hint="eastAsia" w:cs="宋体"/>
                <w:color w:val="000000"/>
                <w:sz w:val="18"/>
                <w:szCs w:val="18"/>
              </w:rPr>
              <w:t>公开06表</w:t>
            </w:r>
          </w:p>
        </w:tc>
      </w:tr>
      <w:tr>
        <w:tblPrEx>
          <w:tblCellMar>
            <w:top w:w="0" w:type="dxa"/>
            <w:left w:w="108" w:type="dxa"/>
            <w:bottom w:w="0" w:type="dxa"/>
            <w:right w:w="108" w:type="dxa"/>
          </w:tblCellMar>
        </w:tblPrEx>
        <w:trPr>
          <w:trHeight w:val="300" w:hRule="atLeast"/>
        </w:trPr>
        <w:tc>
          <w:tcPr>
            <w:tcW w:w="4260" w:type="dxa"/>
            <w:gridSpan w:val="4"/>
            <w:tcBorders>
              <w:top w:val="nil"/>
              <w:left w:val="nil"/>
              <w:bottom w:val="single" w:color="808080" w:sz="4" w:space="0"/>
              <w:right w:val="nil"/>
            </w:tcBorders>
            <w:shd w:val="clear" w:color="000000" w:fill="FFFFFF"/>
            <w:noWrap/>
            <w:vAlign w:val="center"/>
          </w:tcPr>
          <w:p>
            <w:pPr>
              <w:rPr>
                <w:rFonts w:cs="Arial"/>
                <w:color w:val="000000"/>
                <w:sz w:val="20"/>
                <w:szCs w:val="20"/>
              </w:rPr>
            </w:pPr>
            <w:r>
              <w:rPr>
                <w:rFonts w:hint="eastAsia" w:cs="Arial"/>
                <w:color w:val="000000"/>
                <w:sz w:val="20"/>
                <w:szCs w:val="20"/>
              </w:rPr>
              <w:t>部门：娄底市娄星区人民检察院</w:t>
            </w:r>
          </w:p>
        </w:tc>
        <w:tc>
          <w:tcPr>
            <w:tcW w:w="236"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04" w:type="dxa"/>
            <w:gridSpan w:val="4"/>
            <w:tcBorders>
              <w:top w:val="nil"/>
              <w:left w:val="nil"/>
              <w:bottom w:val="single" w:color="808080" w:sz="4" w:space="0"/>
              <w:right w:val="nil"/>
            </w:tcBorders>
            <w:shd w:val="clear" w:color="000000" w:fill="FFFFFF"/>
            <w:noWrap/>
            <w:vAlign w:val="center"/>
          </w:tcPr>
          <w:p>
            <w:pPr>
              <w:rPr>
                <w:rFonts w:cs="Arial"/>
                <w:color w:val="000000"/>
                <w:sz w:val="20"/>
                <w:szCs w:val="20"/>
              </w:rPr>
            </w:pPr>
            <w:r>
              <w:rPr>
                <w:rFonts w:hint="eastAsia" w:cs="Arial"/>
                <w:color w:val="000000"/>
                <w:sz w:val="20"/>
                <w:szCs w:val="20"/>
              </w:rPr>
              <w:t>　         2020年度</w:t>
            </w:r>
          </w:p>
        </w:tc>
        <w:tc>
          <w:tcPr>
            <w:tcW w:w="2780" w:type="dxa"/>
            <w:gridSpan w:val="5"/>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　</w:t>
            </w:r>
          </w:p>
        </w:tc>
        <w:tc>
          <w:tcPr>
            <w:tcW w:w="1800" w:type="dxa"/>
            <w:gridSpan w:val="3"/>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433" w:type="dxa"/>
            <w:gridSpan w:val="4"/>
            <w:tcBorders>
              <w:top w:val="nil"/>
              <w:left w:val="nil"/>
              <w:bottom w:val="single" w:color="808080" w:sz="4" w:space="0"/>
              <w:right w:val="single" w:color="808080" w:sz="4" w:space="0"/>
            </w:tcBorders>
            <w:shd w:val="clear" w:color="000000" w:fill="FFFFFF"/>
            <w:noWrap/>
            <w:vAlign w:val="center"/>
          </w:tcPr>
          <w:p>
            <w:pPr>
              <w:ind w:right="360"/>
              <w:rPr>
                <w:rFonts w:cs="Arial"/>
                <w:color w:val="000000"/>
                <w:sz w:val="18"/>
                <w:szCs w:val="18"/>
              </w:rPr>
            </w:pPr>
            <w:r>
              <w:rPr>
                <w:rFonts w:hint="eastAsia" w:cs="Arial"/>
                <w:color w:val="000000"/>
                <w:sz w:val="18"/>
                <w:szCs w:val="18"/>
              </w:rPr>
              <w:t>金额单位：万元</w:t>
            </w:r>
          </w:p>
        </w:tc>
      </w:tr>
      <w:tr>
        <w:tblPrEx>
          <w:tblCellMar>
            <w:top w:w="0" w:type="dxa"/>
            <w:left w:w="108" w:type="dxa"/>
            <w:bottom w:w="0" w:type="dxa"/>
            <w:right w:w="108" w:type="dxa"/>
          </w:tblCellMar>
        </w:tblPrEx>
        <w:trPr>
          <w:gridAfter w:val="1"/>
          <w:wAfter w:w="190" w:type="dxa"/>
          <w:trHeight w:val="300" w:hRule="atLeast"/>
        </w:trPr>
        <w:tc>
          <w:tcPr>
            <w:tcW w:w="4496"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人员经费</w:t>
            </w:r>
          </w:p>
        </w:tc>
        <w:tc>
          <w:tcPr>
            <w:tcW w:w="9127" w:type="dxa"/>
            <w:gridSpan w:val="15"/>
            <w:tcBorders>
              <w:top w:val="nil"/>
              <w:left w:val="nil"/>
              <w:bottom w:val="single" w:color="000000" w:sz="4" w:space="0"/>
              <w:right w:val="single" w:color="000000" w:sz="4" w:space="0"/>
            </w:tcBorders>
            <w:shd w:val="clear" w:color="000000" w:fill="C0C0C0"/>
            <w:noWrap/>
            <w:vAlign w:val="center"/>
          </w:tcPr>
          <w:p>
            <w:pPr>
              <w:jc w:val="center"/>
              <w:rPr>
                <w:rFonts w:cs="Arial"/>
                <w:color w:val="000000"/>
                <w:sz w:val="20"/>
                <w:szCs w:val="20"/>
              </w:rPr>
            </w:pPr>
            <w:r>
              <w:rPr>
                <w:rFonts w:hint="eastAsia" w:cs="Arial"/>
                <w:color w:val="000000"/>
                <w:sz w:val="20"/>
                <w:szCs w:val="20"/>
              </w:rPr>
              <w:t>公用经费</w:t>
            </w:r>
          </w:p>
        </w:tc>
      </w:tr>
      <w:tr>
        <w:tblPrEx>
          <w:tblCellMar>
            <w:top w:w="0" w:type="dxa"/>
            <w:left w:w="108" w:type="dxa"/>
            <w:bottom w:w="0" w:type="dxa"/>
            <w:right w:w="108" w:type="dxa"/>
          </w:tblCellMar>
        </w:tblPrEx>
        <w:trPr>
          <w:gridAfter w:val="1"/>
          <w:wAfter w:w="190" w:type="dxa"/>
          <w:trHeight w:val="300"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科目编码</w:t>
            </w:r>
          </w:p>
        </w:tc>
        <w:tc>
          <w:tcPr>
            <w:tcW w:w="211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科目名称</w:t>
            </w:r>
          </w:p>
        </w:tc>
        <w:tc>
          <w:tcPr>
            <w:tcW w:w="1646"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c>
          <w:tcPr>
            <w:tcW w:w="1048"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科目编码</w:t>
            </w:r>
          </w:p>
        </w:tc>
        <w:tc>
          <w:tcPr>
            <w:tcW w:w="1842"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科目名称</w:t>
            </w:r>
          </w:p>
        </w:tc>
        <w:tc>
          <w:tcPr>
            <w:tcW w:w="1418"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c>
          <w:tcPr>
            <w:tcW w:w="992"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科目编码</w:t>
            </w:r>
          </w:p>
        </w:tc>
        <w:tc>
          <w:tcPr>
            <w:tcW w:w="2268"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科目名称</w:t>
            </w:r>
          </w:p>
        </w:tc>
        <w:tc>
          <w:tcPr>
            <w:tcW w:w="1559"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gridAfter w:val="1"/>
          <w:wAfter w:w="190" w:type="dxa"/>
          <w:trHeight w:val="300" w:hRule="atLeast"/>
        </w:trPr>
        <w:tc>
          <w:tcPr>
            <w:tcW w:w="740" w:type="dxa"/>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211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4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048"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842"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1418"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992"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268"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1559"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工资福利支出</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979.94</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商品和服务支出</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566.30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307</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债务利息及费用支出</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30101</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基本工资</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254.03</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30201</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办公费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50.10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30701</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国内债务付息</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30102</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津贴补贴</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199.27</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30202</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印刷费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9.54</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30702</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国外债务付息</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30103</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奖金</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143.42</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30203</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咨询费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资本性支出</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30106</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伙食补助费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30204</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手续费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31001</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房屋建筑物购建</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30107</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绩效工资</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30205</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水费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1.18</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31002</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办公设备购置</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30108</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机关事业单位基本养老保险缴费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80.03</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30206</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电费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17.06</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31003</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专用设备购置</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30109</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职业年金缴费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30207</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邮电费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28.59</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31005</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基础设施建设</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30110</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职工基本医疗保险缴费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46.91</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30208</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取暖费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31006</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大型修缮</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30111</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公务员医疗补助缴费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17.55</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30209</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物业管理费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43.15</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31007</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信息网络及软件购置更新</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30112</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其他社会保障缴费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1.38</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30211</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差旅费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24.26</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31008</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物资储备</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30113</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住房公积金</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104.71</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30212</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因公出国（境）费用</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31009</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土地补偿</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30114</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医疗费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30213</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维修（护）费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53.91</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31010</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安置补助</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30199</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其他工资福利支出</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132.64</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30214</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租赁费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31011</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地上附着物和青苗补偿</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303</w:t>
            </w:r>
          </w:p>
        </w:tc>
        <w:tc>
          <w:tcPr>
            <w:tcW w:w="2110" w:type="dxa"/>
            <w:gridSpan w:val="2"/>
            <w:tcBorders>
              <w:top w:val="nil"/>
              <w:left w:val="nil"/>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对个人和家庭的补助</w:t>
            </w:r>
          </w:p>
        </w:tc>
        <w:tc>
          <w:tcPr>
            <w:tcW w:w="1646" w:type="dxa"/>
            <w:gridSpan w:val="2"/>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28.12</w:t>
            </w:r>
          </w:p>
        </w:tc>
        <w:tc>
          <w:tcPr>
            <w:tcW w:w="1048" w:type="dxa"/>
            <w:gridSpan w:val="2"/>
            <w:tcBorders>
              <w:top w:val="nil"/>
              <w:left w:val="nil"/>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30215</w:t>
            </w:r>
          </w:p>
        </w:tc>
        <w:tc>
          <w:tcPr>
            <w:tcW w:w="1842" w:type="dxa"/>
            <w:gridSpan w:val="3"/>
            <w:tcBorders>
              <w:top w:val="nil"/>
              <w:left w:val="nil"/>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会议费</w:t>
            </w:r>
          </w:p>
        </w:tc>
        <w:tc>
          <w:tcPr>
            <w:tcW w:w="1418" w:type="dxa"/>
            <w:gridSpan w:val="2"/>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31012</w:t>
            </w:r>
          </w:p>
        </w:tc>
        <w:tc>
          <w:tcPr>
            <w:tcW w:w="2268" w:type="dxa"/>
            <w:gridSpan w:val="3"/>
            <w:tcBorders>
              <w:top w:val="nil"/>
              <w:left w:val="nil"/>
              <w:bottom w:val="single" w:color="auto"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拆迁补偿</w:t>
            </w:r>
          </w:p>
        </w:tc>
        <w:tc>
          <w:tcPr>
            <w:tcW w:w="1559" w:type="dxa"/>
            <w:gridSpan w:val="2"/>
            <w:tcBorders>
              <w:top w:val="nil"/>
              <w:left w:val="nil"/>
              <w:bottom w:val="single" w:color="auto"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30301</w:t>
            </w:r>
          </w:p>
        </w:tc>
        <w:tc>
          <w:tcPr>
            <w:tcW w:w="2110"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离休费</w:t>
            </w:r>
          </w:p>
        </w:tc>
        <w:tc>
          <w:tcPr>
            <w:tcW w:w="164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30216</w:t>
            </w:r>
          </w:p>
        </w:tc>
        <w:tc>
          <w:tcPr>
            <w:tcW w:w="184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培训费</w:t>
            </w:r>
          </w:p>
        </w:tc>
        <w:tc>
          <w:tcPr>
            <w:tcW w:w="141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7.16</w:t>
            </w:r>
          </w:p>
        </w:tc>
        <w:tc>
          <w:tcPr>
            <w:tcW w:w="99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31013</w:t>
            </w:r>
          </w:p>
        </w:tc>
        <w:tc>
          <w:tcPr>
            <w:tcW w:w="2268"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公务用车购置</w:t>
            </w:r>
          </w:p>
        </w:tc>
        <w:tc>
          <w:tcPr>
            <w:tcW w:w="155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30302</w:t>
            </w:r>
          </w:p>
        </w:tc>
        <w:tc>
          <w:tcPr>
            <w:tcW w:w="2110"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退休费</w:t>
            </w:r>
          </w:p>
        </w:tc>
        <w:tc>
          <w:tcPr>
            <w:tcW w:w="164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30217</w:t>
            </w:r>
          </w:p>
        </w:tc>
        <w:tc>
          <w:tcPr>
            <w:tcW w:w="184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公务接待费</w:t>
            </w:r>
          </w:p>
        </w:tc>
        <w:tc>
          <w:tcPr>
            <w:tcW w:w="141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1.47</w:t>
            </w:r>
          </w:p>
        </w:tc>
        <w:tc>
          <w:tcPr>
            <w:tcW w:w="99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31019</w:t>
            </w:r>
          </w:p>
        </w:tc>
        <w:tc>
          <w:tcPr>
            <w:tcW w:w="2268"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其他交通工具购置</w:t>
            </w:r>
          </w:p>
        </w:tc>
        <w:tc>
          <w:tcPr>
            <w:tcW w:w="155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30303</w:t>
            </w:r>
          </w:p>
        </w:tc>
        <w:tc>
          <w:tcPr>
            <w:tcW w:w="2110"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退职（役）费</w:t>
            </w:r>
          </w:p>
        </w:tc>
        <w:tc>
          <w:tcPr>
            <w:tcW w:w="164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30218</w:t>
            </w:r>
          </w:p>
        </w:tc>
        <w:tc>
          <w:tcPr>
            <w:tcW w:w="184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专用材料费</w:t>
            </w:r>
          </w:p>
        </w:tc>
        <w:tc>
          <w:tcPr>
            <w:tcW w:w="141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31021</w:t>
            </w:r>
          </w:p>
        </w:tc>
        <w:tc>
          <w:tcPr>
            <w:tcW w:w="2268"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文物和陈列品购置</w:t>
            </w:r>
          </w:p>
        </w:tc>
        <w:tc>
          <w:tcPr>
            <w:tcW w:w="155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30304</w:t>
            </w:r>
          </w:p>
        </w:tc>
        <w:tc>
          <w:tcPr>
            <w:tcW w:w="2110"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抚恤金</w:t>
            </w:r>
          </w:p>
        </w:tc>
        <w:tc>
          <w:tcPr>
            <w:tcW w:w="164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30224</w:t>
            </w:r>
          </w:p>
        </w:tc>
        <w:tc>
          <w:tcPr>
            <w:tcW w:w="184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被装购置费</w:t>
            </w:r>
          </w:p>
        </w:tc>
        <w:tc>
          <w:tcPr>
            <w:tcW w:w="141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31022</w:t>
            </w:r>
          </w:p>
        </w:tc>
        <w:tc>
          <w:tcPr>
            <w:tcW w:w="2268"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cs="Arial"/>
                <w:sz w:val="20"/>
                <w:szCs w:val="20"/>
              </w:rPr>
            </w:pPr>
            <w:r>
              <w:rPr>
                <w:rFonts w:hint="eastAsia" w:cs="Arial"/>
                <w:sz w:val="20"/>
                <w:szCs w:val="20"/>
              </w:rPr>
              <w:t xml:space="preserve">  无形资产购置</w:t>
            </w:r>
          </w:p>
        </w:tc>
        <w:tc>
          <w:tcPr>
            <w:tcW w:w="155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30305</w:t>
            </w:r>
          </w:p>
        </w:tc>
        <w:tc>
          <w:tcPr>
            <w:tcW w:w="2110" w:type="dxa"/>
            <w:gridSpan w:val="2"/>
            <w:tcBorders>
              <w:top w:val="single" w:color="auto" w:sz="4" w:space="0"/>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生活补助</w:t>
            </w:r>
          </w:p>
        </w:tc>
        <w:tc>
          <w:tcPr>
            <w:tcW w:w="1646"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10.45</w:t>
            </w:r>
          </w:p>
        </w:tc>
        <w:tc>
          <w:tcPr>
            <w:tcW w:w="1048" w:type="dxa"/>
            <w:gridSpan w:val="2"/>
            <w:tcBorders>
              <w:top w:val="single" w:color="auto" w:sz="4" w:space="0"/>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30225</w:t>
            </w:r>
          </w:p>
        </w:tc>
        <w:tc>
          <w:tcPr>
            <w:tcW w:w="1842" w:type="dxa"/>
            <w:gridSpan w:val="3"/>
            <w:tcBorders>
              <w:top w:val="single" w:color="auto" w:sz="4" w:space="0"/>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专用燃料费</w:t>
            </w:r>
          </w:p>
        </w:tc>
        <w:tc>
          <w:tcPr>
            <w:tcW w:w="1418"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single" w:color="auto" w:sz="4" w:space="0"/>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31099</w:t>
            </w:r>
          </w:p>
        </w:tc>
        <w:tc>
          <w:tcPr>
            <w:tcW w:w="2268" w:type="dxa"/>
            <w:gridSpan w:val="3"/>
            <w:tcBorders>
              <w:top w:val="single" w:color="auto" w:sz="4" w:space="0"/>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其他资本性支出</w:t>
            </w:r>
          </w:p>
        </w:tc>
        <w:tc>
          <w:tcPr>
            <w:tcW w:w="1559"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30306</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救济费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30226</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劳务费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65.20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其他支出</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30307</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医疗费补助</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30227</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委托业务费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39906</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赠与</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30308</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助学金</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30228</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工会经费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28.60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39907</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国家赔偿费用支出</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30309</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奖励金</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5.64</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30229</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福利费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21.22</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39908</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对民间非营利组织和群众性自治组织补贴</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30310</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个人农业生产补贴</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30231</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公务用车运行维护费</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38.20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39999</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其他支出</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30311</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代缴社会保险费</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30239</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其他交通费用</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45.68</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30399</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其他对个人和家庭的补助</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12.03</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30240</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税金及附加费用</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190" w:type="dxa"/>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110"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048"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30299</w:t>
            </w:r>
          </w:p>
        </w:tc>
        <w:tc>
          <w:tcPr>
            <w:tcW w:w="184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其他商品和服务支出</w:t>
            </w:r>
          </w:p>
        </w:tc>
        <w:tc>
          <w:tcPr>
            <w:tcW w:w="1418"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131.00</w:t>
            </w:r>
          </w:p>
        </w:tc>
        <w:tc>
          <w:tcPr>
            <w:tcW w:w="992"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68" w:type="dxa"/>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190" w:type="dxa"/>
          <w:trHeight w:val="300" w:hRule="atLeast"/>
        </w:trPr>
        <w:tc>
          <w:tcPr>
            <w:tcW w:w="2850"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人员经费合计</w:t>
            </w:r>
          </w:p>
        </w:tc>
        <w:tc>
          <w:tcPr>
            <w:tcW w:w="16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1,008.06</w:t>
            </w:r>
          </w:p>
        </w:tc>
        <w:tc>
          <w:tcPr>
            <w:tcW w:w="7568" w:type="dxa"/>
            <w:gridSpan w:val="13"/>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公用经费合计</w:t>
            </w:r>
          </w:p>
        </w:tc>
        <w:tc>
          <w:tcPr>
            <w:tcW w:w="1559"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566.30</w:t>
            </w:r>
          </w:p>
        </w:tc>
      </w:tr>
      <w:tr>
        <w:tblPrEx>
          <w:tblCellMar>
            <w:top w:w="0" w:type="dxa"/>
            <w:left w:w="108" w:type="dxa"/>
            <w:bottom w:w="0" w:type="dxa"/>
            <w:right w:w="108" w:type="dxa"/>
          </w:tblCellMar>
        </w:tblPrEx>
        <w:trPr>
          <w:gridAfter w:val="1"/>
          <w:wAfter w:w="190" w:type="dxa"/>
          <w:trHeight w:val="300" w:hRule="atLeast"/>
        </w:trPr>
        <w:tc>
          <w:tcPr>
            <w:tcW w:w="13623" w:type="dxa"/>
            <w:gridSpan w:val="20"/>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注：本表反映部门本年度一般公共预算财政拨款基本支出明细情况。</w:t>
            </w:r>
          </w:p>
        </w:tc>
      </w:tr>
    </w:tbl>
    <w:p>
      <w:pPr>
        <w:pStyle w:val="14"/>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4"/>
        <w:spacing w:before="0" w:beforeAutospacing="0"/>
        <w:ind w:firstLine="480" w:firstLineChars="150"/>
        <w:outlineLvl w:val="1"/>
        <w:rPr>
          <w:rFonts w:ascii="黑体" w:hAnsi="黑体" w:eastAsia="黑体" w:cs="楷体"/>
          <w:sz w:val="32"/>
          <w:szCs w:val="32"/>
          <w:shd w:val="clear" w:color="auto" w:fill="FFFFFF"/>
        </w:rPr>
      </w:pPr>
      <w:bookmarkStart w:id="12" w:name="_Toc15088"/>
      <w:r>
        <w:rPr>
          <w:rFonts w:hint="eastAsia" w:ascii="黑体" w:hAnsi="黑体" w:eastAsia="黑体" w:cs="楷体"/>
          <w:sz w:val="32"/>
          <w:szCs w:val="32"/>
          <w:shd w:val="clear" w:color="auto" w:fill="FFFFFF"/>
        </w:rPr>
        <w:t>七、一般公共预算财政拨款“三公”经费支出决算表</w:t>
      </w:r>
      <w:bookmarkEnd w:id="12"/>
    </w:p>
    <w:tbl>
      <w:tblPr>
        <w:tblStyle w:val="15"/>
        <w:tblW w:w="14034" w:type="dxa"/>
        <w:tblInd w:w="93" w:type="dxa"/>
        <w:tblLayout w:type="autofit"/>
        <w:tblCellMar>
          <w:top w:w="0" w:type="dxa"/>
          <w:left w:w="108" w:type="dxa"/>
          <w:bottom w:w="0" w:type="dxa"/>
          <w:right w:w="108" w:type="dxa"/>
        </w:tblCellMar>
      </w:tblPr>
      <w:tblGrid>
        <w:gridCol w:w="866"/>
        <w:gridCol w:w="554"/>
        <w:gridCol w:w="580"/>
        <w:gridCol w:w="840"/>
        <w:gridCol w:w="294"/>
        <w:gridCol w:w="722"/>
        <w:gridCol w:w="404"/>
        <w:gridCol w:w="150"/>
        <w:gridCol w:w="866"/>
        <w:gridCol w:w="404"/>
        <w:gridCol w:w="572"/>
        <w:gridCol w:w="848"/>
        <w:gridCol w:w="145"/>
        <w:gridCol w:w="155"/>
        <w:gridCol w:w="1016"/>
        <w:gridCol w:w="246"/>
        <w:gridCol w:w="442"/>
        <w:gridCol w:w="128"/>
        <w:gridCol w:w="706"/>
        <w:gridCol w:w="310"/>
        <w:gridCol w:w="944"/>
        <w:gridCol w:w="163"/>
        <w:gridCol w:w="534"/>
        <w:gridCol w:w="236"/>
        <w:gridCol w:w="420"/>
        <w:gridCol w:w="1153"/>
        <w:gridCol w:w="114"/>
        <w:gridCol w:w="222"/>
      </w:tblGrid>
      <w:tr>
        <w:tblPrEx>
          <w:tblCellMar>
            <w:top w:w="0" w:type="dxa"/>
            <w:left w:w="108" w:type="dxa"/>
            <w:bottom w:w="0" w:type="dxa"/>
            <w:right w:w="108" w:type="dxa"/>
          </w:tblCellMar>
        </w:tblPrEx>
        <w:trPr>
          <w:gridAfter w:val="1"/>
          <w:wAfter w:w="222" w:type="dxa"/>
          <w:trHeight w:val="300" w:hRule="atLeast"/>
        </w:trPr>
        <w:tc>
          <w:tcPr>
            <w:tcW w:w="1420"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20"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16"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20"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124" w:type="dxa"/>
            <w:gridSpan w:val="5"/>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1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16"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16"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4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53" w:type="dxa"/>
            <w:gridSpan w:val="4"/>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67" w:type="dxa"/>
            <w:gridSpan w:val="2"/>
            <w:tcBorders>
              <w:top w:val="nil"/>
              <w:left w:val="nil"/>
              <w:bottom w:val="nil"/>
            </w:tcBorders>
            <w:shd w:val="clear" w:color="000000" w:fill="FFFFFF"/>
            <w:noWrap/>
            <w:vAlign w:val="center"/>
          </w:tcPr>
          <w:p>
            <w:pPr>
              <w:ind w:left="-372" w:leftChars="-155" w:firstLine="371" w:firstLineChars="169"/>
              <w:jc w:val="right"/>
              <w:rPr>
                <w:rFonts w:cs="Arial"/>
                <w:sz w:val="22"/>
                <w:szCs w:val="22"/>
              </w:rPr>
            </w:pPr>
            <w:r>
              <w:rPr>
                <w:rFonts w:hint="eastAsia" w:cs="Arial"/>
                <w:sz w:val="22"/>
                <w:szCs w:val="22"/>
              </w:rPr>
              <w:t>公开07表</w:t>
            </w:r>
          </w:p>
        </w:tc>
      </w:tr>
      <w:tr>
        <w:tblPrEx>
          <w:tblCellMar>
            <w:top w:w="0" w:type="dxa"/>
            <w:left w:w="108" w:type="dxa"/>
            <w:bottom w:w="0" w:type="dxa"/>
            <w:right w:w="108" w:type="dxa"/>
          </w:tblCellMar>
        </w:tblPrEx>
        <w:trPr>
          <w:trHeight w:val="300" w:hRule="atLeast"/>
        </w:trPr>
        <w:tc>
          <w:tcPr>
            <w:tcW w:w="4260" w:type="dxa"/>
            <w:gridSpan w:val="7"/>
            <w:tcBorders>
              <w:top w:val="nil"/>
              <w:left w:val="nil"/>
              <w:bottom w:val="single" w:color="808080" w:sz="4" w:space="0"/>
              <w:right w:val="nil"/>
            </w:tcBorders>
            <w:shd w:val="clear" w:color="000000" w:fill="FFFFFF"/>
            <w:noWrap/>
            <w:vAlign w:val="center"/>
          </w:tcPr>
          <w:p>
            <w:pPr>
              <w:rPr>
                <w:rFonts w:cs="Arial"/>
                <w:sz w:val="22"/>
                <w:szCs w:val="22"/>
              </w:rPr>
            </w:pPr>
            <w:r>
              <w:rPr>
                <w:rFonts w:hint="eastAsia" w:cs="Arial"/>
                <w:sz w:val="22"/>
                <w:szCs w:val="22"/>
              </w:rPr>
              <w:t>部门：娄底市娄星区人民检察院</w:t>
            </w:r>
          </w:p>
        </w:tc>
        <w:tc>
          <w:tcPr>
            <w:tcW w:w="1420" w:type="dxa"/>
            <w:gridSpan w:val="3"/>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420" w:type="dxa"/>
            <w:gridSpan w:val="2"/>
            <w:tcBorders>
              <w:top w:val="nil"/>
              <w:left w:val="nil"/>
              <w:bottom w:val="single" w:color="808080" w:sz="4" w:space="0"/>
              <w:right w:val="nil"/>
            </w:tcBorders>
            <w:shd w:val="clear" w:color="000000" w:fill="FFFFFF"/>
            <w:noWrap/>
            <w:vAlign w:val="center"/>
          </w:tcPr>
          <w:p>
            <w:pPr>
              <w:rPr>
                <w:rFonts w:cs="Arial"/>
                <w:sz w:val="22"/>
                <w:szCs w:val="22"/>
              </w:rPr>
            </w:pPr>
            <w:r>
              <w:rPr>
                <w:rFonts w:hint="eastAsia" w:cs="Arial"/>
                <w:sz w:val="22"/>
                <w:szCs w:val="22"/>
              </w:rPr>
              <w:t>　2020年度</w:t>
            </w:r>
          </w:p>
        </w:tc>
        <w:tc>
          <w:tcPr>
            <w:tcW w:w="2004" w:type="dxa"/>
            <w:gridSpan w:val="5"/>
            <w:tcBorders>
              <w:top w:val="nil"/>
              <w:left w:val="nil"/>
              <w:bottom w:val="single" w:color="808080" w:sz="4" w:space="0"/>
              <w:right w:val="nil"/>
            </w:tcBorders>
            <w:shd w:val="clear" w:color="000000" w:fill="FFFFFF"/>
            <w:noWrap/>
            <w:vAlign w:val="center"/>
          </w:tcPr>
          <w:p>
            <w:pPr>
              <w:rPr>
                <w:rFonts w:cs="Arial"/>
                <w:sz w:val="22"/>
                <w:szCs w:val="22"/>
              </w:rPr>
            </w:pPr>
            <w:r>
              <w:rPr>
                <w:rFonts w:hint="eastAsia" w:cs="Arial"/>
                <w:sz w:val="22"/>
                <w:szCs w:val="22"/>
              </w:rPr>
              <w:t>　</w:t>
            </w:r>
          </w:p>
        </w:tc>
        <w:tc>
          <w:tcPr>
            <w:tcW w:w="2785" w:type="dxa"/>
            <w:gridSpan w:val="6"/>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6"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909" w:type="dxa"/>
            <w:gridSpan w:val="4"/>
            <w:tcBorders>
              <w:top w:val="nil"/>
              <w:left w:val="nil"/>
              <w:bottom w:val="single" w:color="808080" w:sz="4" w:space="0"/>
              <w:right w:val="single" w:color="808080" w:sz="4" w:space="0"/>
            </w:tcBorders>
            <w:shd w:val="clear" w:color="000000" w:fill="FFFFFF"/>
            <w:noWrap/>
            <w:vAlign w:val="center"/>
          </w:tcPr>
          <w:p>
            <w:pPr>
              <w:ind w:left="-257" w:leftChars="-107" w:right="220"/>
              <w:jc w:val="right"/>
              <w:rPr>
                <w:rFonts w:cs="Arial"/>
                <w:sz w:val="22"/>
                <w:szCs w:val="22"/>
              </w:rPr>
            </w:pPr>
            <w:r>
              <w:rPr>
                <w:rFonts w:hint="eastAsia" w:cs="Arial"/>
                <w:sz w:val="22"/>
                <w:szCs w:val="22"/>
              </w:rPr>
              <w:t>金额单位：万元</w:t>
            </w:r>
          </w:p>
        </w:tc>
      </w:tr>
      <w:tr>
        <w:tblPrEx>
          <w:tblCellMar>
            <w:top w:w="0" w:type="dxa"/>
            <w:left w:w="108" w:type="dxa"/>
            <w:bottom w:w="0" w:type="dxa"/>
            <w:right w:w="108" w:type="dxa"/>
          </w:tblCellMar>
        </w:tblPrEx>
        <w:trPr>
          <w:gridAfter w:val="2"/>
          <w:wAfter w:w="336" w:type="dxa"/>
          <w:trHeight w:val="300" w:hRule="atLeast"/>
        </w:trPr>
        <w:tc>
          <w:tcPr>
            <w:tcW w:w="6252" w:type="dxa"/>
            <w:gridSpan w:val="11"/>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预算数</w:t>
            </w:r>
          </w:p>
        </w:tc>
        <w:tc>
          <w:tcPr>
            <w:tcW w:w="7446" w:type="dxa"/>
            <w:gridSpan w:val="15"/>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gridAfter w:val="2"/>
          <w:wAfter w:w="336" w:type="dxa"/>
          <w:trHeight w:val="300" w:hRule="atLeast"/>
        </w:trPr>
        <w:tc>
          <w:tcPr>
            <w:tcW w:w="866" w:type="dxa"/>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1134"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因公出国（境）费</w:t>
            </w:r>
          </w:p>
        </w:tc>
        <w:tc>
          <w:tcPr>
            <w:tcW w:w="3276" w:type="dxa"/>
            <w:gridSpan w:val="6"/>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公务用车购置及运行费</w:t>
            </w:r>
          </w:p>
        </w:tc>
        <w:tc>
          <w:tcPr>
            <w:tcW w:w="976"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公务接待费</w:t>
            </w:r>
          </w:p>
        </w:tc>
        <w:tc>
          <w:tcPr>
            <w:tcW w:w="993"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1417"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因公出国（境）费</w:t>
            </w:r>
          </w:p>
        </w:tc>
        <w:tc>
          <w:tcPr>
            <w:tcW w:w="3883" w:type="dxa"/>
            <w:gridSpan w:val="9"/>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公务用车购置及运行费</w:t>
            </w:r>
          </w:p>
        </w:tc>
        <w:tc>
          <w:tcPr>
            <w:tcW w:w="1153"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公务接待费</w:t>
            </w:r>
          </w:p>
        </w:tc>
      </w:tr>
      <w:tr>
        <w:tblPrEx>
          <w:tblCellMar>
            <w:top w:w="0" w:type="dxa"/>
            <w:left w:w="108" w:type="dxa"/>
            <w:bottom w:w="0" w:type="dxa"/>
            <w:right w:w="108" w:type="dxa"/>
          </w:tblCellMar>
        </w:tblPrEx>
        <w:trPr>
          <w:gridAfter w:val="2"/>
          <w:wAfter w:w="336" w:type="dxa"/>
          <w:trHeight w:val="600" w:hRule="atLeast"/>
        </w:trPr>
        <w:tc>
          <w:tcPr>
            <w:tcW w:w="866" w:type="dxa"/>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134"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134"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1276"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公务用车购置费</w:t>
            </w:r>
          </w:p>
        </w:tc>
        <w:tc>
          <w:tcPr>
            <w:tcW w:w="866"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公务用车运行费</w:t>
            </w:r>
          </w:p>
        </w:tc>
        <w:tc>
          <w:tcPr>
            <w:tcW w:w="97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993"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417"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1417"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公务用车购置费</w:t>
            </w:r>
          </w:p>
        </w:tc>
        <w:tc>
          <w:tcPr>
            <w:tcW w:w="1190"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公务用车运行费</w:t>
            </w:r>
          </w:p>
        </w:tc>
        <w:tc>
          <w:tcPr>
            <w:tcW w:w="1153"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gridAfter w:val="2"/>
          <w:wAfter w:w="336" w:type="dxa"/>
          <w:trHeight w:val="300" w:hRule="atLeast"/>
        </w:trPr>
        <w:tc>
          <w:tcPr>
            <w:tcW w:w="866" w:type="dxa"/>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1134"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1134"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c>
          <w:tcPr>
            <w:tcW w:w="1276"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4</w:t>
            </w:r>
          </w:p>
        </w:tc>
        <w:tc>
          <w:tcPr>
            <w:tcW w:w="866"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5</w:t>
            </w:r>
          </w:p>
        </w:tc>
        <w:tc>
          <w:tcPr>
            <w:tcW w:w="976"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6</w:t>
            </w:r>
          </w:p>
        </w:tc>
        <w:tc>
          <w:tcPr>
            <w:tcW w:w="993" w:type="dxa"/>
            <w:gridSpan w:val="2"/>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7</w:t>
            </w:r>
          </w:p>
        </w:tc>
        <w:tc>
          <w:tcPr>
            <w:tcW w:w="1417"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8</w:t>
            </w:r>
          </w:p>
        </w:tc>
        <w:tc>
          <w:tcPr>
            <w:tcW w:w="1276"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9</w:t>
            </w:r>
          </w:p>
        </w:tc>
        <w:tc>
          <w:tcPr>
            <w:tcW w:w="1417"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10</w:t>
            </w:r>
          </w:p>
        </w:tc>
        <w:tc>
          <w:tcPr>
            <w:tcW w:w="1190" w:type="dxa"/>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11</w:t>
            </w:r>
          </w:p>
        </w:tc>
        <w:tc>
          <w:tcPr>
            <w:tcW w:w="1153"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12</w:t>
            </w:r>
          </w:p>
        </w:tc>
      </w:tr>
      <w:tr>
        <w:tblPrEx>
          <w:tblCellMar>
            <w:top w:w="0" w:type="dxa"/>
            <w:left w:w="108" w:type="dxa"/>
            <w:bottom w:w="0" w:type="dxa"/>
            <w:right w:w="108" w:type="dxa"/>
          </w:tblCellMar>
        </w:tblPrEx>
        <w:trPr>
          <w:gridAfter w:val="2"/>
          <w:wAfter w:w="336" w:type="dxa"/>
          <w:trHeight w:val="300" w:hRule="atLeast"/>
        </w:trPr>
        <w:tc>
          <w:tcPr>
            <w:tcW w:w="866" w:type="dxa"/>
            <w:tcBorders>
              <w:top w:val="nil"/>
              <w:left w:val="single" w:color="000000" w:sz="4" w:space="0"/>
              <w:bottom w:val="single" w:color="000000" w:sz="4" w:space="0"/>
              <w:right w:val="single" w:color="000000" w:sz="4" w:space="0"/>
            </w:tcBorders>
            <w:shd w:val="clear" w:color="000000" w:fill="00FF00"/>
            <w:noWrap/>
            <w:vAlign w:val="center"/>
          </w:tcPr>
          <w:p>
            <w:pPr>
              <w:jc w:val="right"/>
              <w:rPr>
                <w:rFonts w:cs="Arial"/>
                <w:sz w:val="20"/>
                <w:szCs w:val="20"/>
              </w:rPr>
            </w:pPr>
            <w:r>
              <w:rPr>
                <w:rFonts w:hint="eastAsia" w:cs="Arial"/>
                <w:sz w:val="20"/>
                <w:szCs w:val="20"/>
              </w:rPr>
              <w:t>39.70</w:t>
            </w:r>
          </w:p>
        </w:tc>
        <w:tc>
          <w:tcPr>
            <w:tcW w:w="1134"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gridSpan w:val="2"/>
            <w:tcBorders>
              <w:top w:val="nil"/>
              <w:left w:val="nil"/>
              <w:bottom w:val="single" w:color="000000" w:sz="4" w:space="0"/>
              <w:right w:val="single" w:color="000000" w:sz="4" w:space="0"/>
            </w:tcBorders>
            <w:shd w:val="clear" w:color="000000" w:fill="00FF00"/>
            <w:noWrap/>
            <w:vAlign w:val="center"/>
          </w:tcPr>
          <w:p>
            <w:pPr>
              <w:jc w:val="right"/>
              <w:rPr>
                <w:rFonts w:cs="Arial"/>
                <w:sz w:val="20"/>
                <w:szCs w:val="20"/>
              </w:rPr>
            </w:pPr>
            <w:r>
              <w:rPr>
                <w:rFonts w:hint="eastAsia" w:cs="Arial"/>
                <w:sz w:val="20"/>
                <w:szCs w:val="20"/>
              </w:rPr>
              <w:t>35.00</w:t>
            </w:r>
          </w:p>
        </w:tc>
        <w:tc>
          <w:tcPr>
            <w:tcW w:w="1276"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6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35.00</w:t>
            </w:r>
          </w:p>
        </w:tc>
        <w:tc>
          <w:tcPr>
            <w:tcW w:w="9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4.70</w:t>
            </w:r>
          </w:p>
        </w:tc>
        <w:tc>
          <w:tcPr>
            <w:tcW w:w="993"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39.67</w:t>
            </w:r>
          </w:p>
        </w:tc>
        <w:tc>
          <w:tcPr>
            <w:tcW w:w="1417"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38.20</w:t>
            </w:r>
          </w:p>
        </w:tc>
        <w:tc>
          <w:tcPr>
            <w:tcW w:w="1417"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90"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38.20</w:t>
            </w:r>
          </w:p>
        </w:tc>
        <w:tc>
          <w:tcPr>
            <w:tcW w:w="115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1.47</w:t>
            </w:r>
          </w:p>
        </w:tc>
      </w:tr>
      <w:tr>
        <w:tblPrEx>
          <w:tblCellMar>
            <w:top w:w="0" w:type="dxa"/>
            <w:left w:w="108" w:type="dxa"/>
            <w:bottom w:w="0" w:type="dxa"/>
            <w:right w:w="108" w:type="dxa"/>
          </w:tblCellMar>
        </w:tblPrEx>
        <w:trPr>
          <w:gridAfter w:val="2"/>
          <w:wAfter w:w="336" w:type="dxa"/>
          <w:trHeight w:val="600" w:hRule="atLeast"/>
        </w:trPr>
        <w:tc>
          <w:tcPr>
            <w:tcW w:w="13698" w:type="dxa"/>
            <w:gridSpan w:val="26"/>
            <w:tcBorders>
              <w:top w:val="nil"/>
              <w:left w:val="nil"/>
              <w:bottom w:val="nil"/>
              <w:right w:val="nil"/>
            </w:tcBorders>
            <w:shd w:val="clear" w:color="000000" w:fill="FFFFFF"/>
            <w:vAlign w:val="center"/>
          </w:tcPr>
          <w:p>
            <w:pPr>
              <w:rPr>
                <w:rFonts w:cs="Arial"/>
                <w:sz w:val="20"/>
                <w:szCs w:val="20"/>
              </w:rPr>
            </w:pPr>
            <w:r>
              <w:rPr>
                <w:rFonts w:hint="eastAsia" w:cs="Arial"/>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4"/>
        <w:spacing w:before="0" w:beforeAutospacing="0"/>
        <w:ind w:firstLine="480" w:firstLineChars="150"/>
        <w:outlineLvl w:val="1"/>
        <w:rPr>
          <w:rFonts w:ascii="楷体_GB2312" w:hAnsi="楷体" w:eastAsia="楷体_GB2312" w:cs="楷体"/>
          <w:sz w:val="32"/>
          <w:szCs w:val="32"/>
          <w:shd w:val="clear" w:color="auto" w:fill="FFFFFF"/>
        </w:rPr>
      </w:pPr>
    </w:p>
    <w:p>
      <w:pPr>
        <w:pStyle w:val="14"/>
        <w:numPr>
          <w:ilvl w:val="0"/>
          <w:numId w:val="2"/>
        </w:numPr>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4"/>
        <w:spacing w:before="0" w:beforeAutospacing="0"/>
        <w:ind w:firstLine="480" w:firstLineChars="150"/>
        <w:outlineLvl w:val="1"/>
        <w:rPr>
          <w:rStyle w:val="17"/>
          <w:rFonts w:ascii="黑体" w:hAnsi="黑体" w:eastAsia="黑体"/>
          <w:b w:val="0"/>
          <w:sz w:val="32"/>
          <w:szCs w:val="32"/>
        </w:rPr>
      </w:pPr>
      <w:bookmarkStart w:id="13" w:name="_Toc16750"/>
      <w:r>
        <w:rPr>
          <w:rStyle w:val="17"/>
          <w:rFonts w:hint="eastAsia" w:ascii="黑体" w:hAnsi="黑体" w:eastAsia="黑体"/>
          <w:b w:val="0"/>
          <w:sz w:val="32"/>
          <w:szCs w:val="32"/>
        </w:rPr>
        <w:t>八、政府性基金预算财政拨款收入支出决算表</w:t>
      </w:r>
      <w:bookmarkEnd w:id="13"/>
    </w:p>
    <w:tbl>
      <w:tblPr>
        <w:tblStyle w:val="15"/>
        <w:tblW w:w="8520" w:type="dxa"/>
        <w:tblInd w:w="0" w:type="dxa"/>
        <w:tblLayout w:type="fixed"/>
        <w:tblCellMar>
          <w:top w:w="0" w:type="dxa"/>
          <w:left w:w="0" w:type="dxa"/>
          <w:bottom w:w="0" w:type="dxa"/>
          <w:right w:w="0" w:type="dxa"/>
        </w:tblCellMar>
      </w:tblPr>
      <w:tblGrid>
        <w:gridCol w:w="3000"/>
        <w:gridCol w:w="50"/>
        <w:gridCol w:w="50"/>
        <w:gridCol w:w="317"/>
        <w:gridCol w:w="513"/>
        <w:gridCol w:w="1282"/>
        <w:gridCol w:w="593"/>
        <w:gridCol w:w="433"/>
        <w:gridCol w:w="579"/>
        <w:gridCol w:w="623"/>
        <w:gridCol w:w="1080"/>
      </w:tblGrid>
      <w:tr>
        <w:tblPrEx>
          <w:tblCellMar>
            <w:top w:w="0" w:type="dxa"/>
            <w:left w:w="0" w:type="dxa"/>
            <w:bottom w:w="0" w:type="dxa"/>
            <w:right w:w="0" w:type="dxa"/>
          </w:tblCellMar>
        </w:tblPrEx>
        <w:trPr>
          <w:trHeight w:val="300" w:hRule="atLeast"/>
        </w:trPr>
        <w:tc>
          <w:tcPr>
            <w:tcW w:w="3000"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0"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367" w:type="dxa"/>
            <w:gridSpan w:val="2"/>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13"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282"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93"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433"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79"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623"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080" w:type="dxa"/>
            <w:tcBorders>
              <w:top w:val="nil"/>
              <w:left w:val="nil"/>
              <w:bottom w:val="nil"/>
            </w:tcBorders>
            <w:shd w:val="clear" w:color="auto" w:fill="FFFFFF"/>
            <w:noWrap/>
            <w:tcMar>
              <w:top w:w="15" w:type="dxa"/>
              <w:left w:w="15" w:type="dxa"/>
              <w:right w:w="15" w:type="dxa"/>
            </w:tcMar>
            <w:vAlign w:val="center"/>
          </w:tcPr>
          <w:p>
            <w:pPr>
              <w:jc w:val="right"/>
              <w:textAlignment w:val="center"/>
              <w:rPr>
                <w:rFonts w:cs="宋体"/>
                <w:color w:val="000000"/>
                <w:sz w:val="21"/>
                <w:szCs w:val="21"/>
              </w:rPr>
            </w:pPr>
            <w:r>
              <w:rPr>
                <w:rFonts w:hint="eastAsia" w:cs="宋体"/>
                <w:color w:val="000000"/>
                <w:sz w:val="21"/>
                <w:szCs w:val="21"/>
              </w:rPr>
              <w:t>公开08表</w:t>
            </w:r>
          </w:p>
        </w:tc>
      </w:tr>
      <w:tr>
        <w:tblPrEx>
          <w:tblCellMar>
            <w:top w:w="0" w:type="dxa"/>
            <w:left w:w="0" w:type="dxa"/>
            <w:bottom w:w="0" w:type="dxa"/>
            <w:right w:w="0" w:type="dxa"/>
          </w:tblCellMar>
        </w:tblPrEx>
        <w:trPr>
          <w:trHeight w:val="300" w:hRule="atLeast"/>
        </w:trPr>
        <w:tc>
          <w:tcPr>
            <w:tcW w:w="3000" w:type="dxa"/>
            <w:tcBorders>
              <w:top w:val="nil"/>
              <w:left w:val="nil"/>
              <w:bottom w:val="single" w:color="808080" w:sz="4" w:space="0"/>
              <w:right w:val="nil"/>
            </w:tcBorders>
            <w:shd w:val="clear" w:color="auto" w:fill="FFFFFF"/>
            <w:noWrap/>
            <w:tcMar>
              <w:top w:w="15" w:type="dxa"/>
              <w:left w:w="15" w:type="dxa"/>
              <w:right w:w="15" w:type="dxa"/>
            </w:tcMar>
            <w:vAlign w:val="center"/>
          </w:tcPr>
          <w:p>
            <w:pPr>
              <w:ind w:right="-223" w:rightChars="-93"/>
              <w:textAlignment w:val="center"/>
              <w:rPr>
                <w:rFonts w:cs="宋体"/>
                <w:color w:val="000000"/>
                <w:sz w:val="21"/>
                <w:szCs w:val="21"/>
              </w:rPr>
            </w:pPr>
            <w:r>
              <w:rPr>
                <w:rFonts w:hint="eastAsia" w:cs="宋体"/>
                <w:color w:val="000000"/>
                <w:sz w:val="21"/>
                <w:szCs w:val="21"/>
              </w:rPr>
              <w:t>部门：娄底市娄星区人民检察院</w:t>
            </w:r>
          </w:p>
        </w:tc>
        <w:tc>
          <w:tcPr>
            <w:tcW w:w="50" w:type="dxa"/>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367"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r>
              <w:rPr>
                <w:rFonts w:hint="eastAsia" w:cs="宋体"/>
                <w:color w:val="000000"/>
                <w:sz w:val="21"/>
                <w:szCs w:val="21"/>
              </w:rPr>
              <w:t xml:space="preserve">      </w:t>
            </w:r>
          </w:p>
        </w:tc>
        <w:tc>
          <w:tcPr>
            <w:tcW w:w="513" w:type="dxa"/>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28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textAlignment w:val="center"/>
              <w:rPr>
                <w:rFonts w:cs="宋体"/>
                <w:color w:val="000000"/>
                <w:sz w:val="21"/>
                <w:szCs w:val="21"/>
              </w:rPr>
            </w:pPr>
            <w:r>
              <w:rPr>
                <w:rFonts w:hint="eastAsia" w:cs="宋体"/>
                <w:color w:val="000000"/>
                <w:sz w:val="21"/>
                <w:szCs w:val="21"/>
              </w:rPr>
              <w:t>2020年度</w:t>
            </w:r>
          </w:p>
        </w:tc>
        <w:tc>
          <w:tcPr>
            <w:tcW w:w="593" w:type="dxa"/>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433" w:type="dxa"/>
            <w:tcBorders>
              <w:top w:val="nil"/>
              <w:left w:val="nil"/>
              <w:bottom w:val="single" w:color="auto"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79" w:type="dxa"/>
            <w:tcBorders>
              <w:top w:val="nil"/>
              <w:left w:val="nil"/>
              <w:bottom w:val="single" w:color="auto"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703" w:type="dxa"/>
            <w:gridSpan w:val="2"/>
            <w:tcBorders>
              <w:top w:val="nil"/>
              <w:left w:val="nil"/>
              <w:bottom w:val="single" w:color="auto" w:sz="4" w:space="0"/>
            </w:tcBorders>
            <w:shd w:val="clear" w:color="auto" w:fill="FFFFFF"/>
            <w:noWrap/>
            <w:tcMar>
              <w:top w:w="15" w:type="dxa"/>
              <w:left w:w="15" w:type="dxa"/>
              <w:right w:w="15" w:type="dxa"/>
            </w:tcMar>
            <w:vAlign w:val="center"/>
          </w:tcPr>
          <w:p>
            <w:pPr>
              <w:jc w:val="right"/>
              <w:textAlignment w:val="center"/>
              <w:rPr>
                <w:rFonts w:cs="宋体"/>
                <w:color w:val="000000"/>
                <w:sz w:val="21"/>
                <w:szCs w:val="21"/>
              </w:rPr>
            </w:pPr>
            <w:r>
              <w:rPr>
                <w:rFonts w:hint="eastAsia" w:cs="宋体"/>
                <w:color w:val="000000"/>
                <w:sz w:val="21"/>
                <w:szCs w:val="21"/>
              </w:rPr>
              <w:t>金额单位：万元</w:t>
            </w:r>
          </w:p>
        </w:tc>
      </w:tr>
      <w:tr>
        <w:tblPrEx>
          <w:tblCellMar>
            <w:top w:w="0" w:type="dxa"/>
            <w:left w:w="0" w:type="dxa"/>
            <w:bottom w:w="0" w:type="dxa"/>
            <w:right w:w="0" w:type="dxa"/>
          </w:tblCellMar>
        </w:tblPrEx>
        <w:trPr>
          <w:trHeight w:val="300" w:hRule="atLeast"/>
        </w:trPr>
        <w:tc>
          <w:tcPr>
            <w:tcW w:w="3930"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both"/>
              <w:textAlignment w:val="center"/>
              <w:rPr>
                <w:rFonts w:cs="宋体"/>
                <w:color w:val="000000"/>
                <w:sz w:val="20"/>
                <w:szCs w:val="20"/>
              </w:rPr>
            </w:pPr>
            <w:r>
              <w:rPr>
                <w:rFonts w:hint="eastAsia" w:cs="宋体"/>
                <w:color w:val="000000"/>
                <w:sz w:val="20"/>
                <w:szCs w:val="20"/>
              </w:rPr>
              <w:t>项目</w:t>
            </w:r>
          </w:p>
        </w:tc>
        <w:tc>
          <w:tcPr>
            <w:tcW w:w="128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年初结转和结余</w:t>
            </w:r>
          </w:p>
        </w:tc>
        <w:tc>
          <w:tcPr>
            <w:tcW w:w="593" w:type="dxa"/>
            <w:vMerge w:val="restart"/>
            <w:tcBorders>
              <w:top w:val="nil"/>
              <w:left w:val="nil"/>
              <w:bottom w:val="single" w:color="000000"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本年收入</w:t>
            </w:r>
          </w:p>
        </w:tc>
        <w:tc>
          <w:tcPr>
            <w:tcW w:w="1635" w:type="dxa"/>
            <w:gridSpan w:val="3"/>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本年支出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年末结转和结余</w:t>
            </w:r>
          </w:p>
        </w:tc>
      </w:tr>
      <w:tr>
        <w:tblPrEx>
          <w:tblCellMar>
            <w:top w:w="0" w:type="dxa"/>
            <w:left w:w="0" w:type="dxa"/>
            <w:bottom w:w="0" w:type="dxa"/>
            <w:right w:w="0" w:type="dxa"/>
          </w:tblCellMar>
        </w:tblPrEx>
        <w:trPr>
          <w:trHeight w:val="300" w:hRule="atLeast"/>
        </w:trPr>
        <w:tc>
          <w:tcPr>
            <w:tcW w:w="3100"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功能分类科目编码</w:t>
            </w:r>
          </w:p>
        </w:tc>
        <w:tc>
          <w:tcPr>
            <w:tcW w:w="830" w:type="dxa"/>
            <w:gridSpan w:val="2"/>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科目名称</w:t>
            </w:r>
          </w:p>
        </w:tc>
        <w:tc>
          <w:tcPr>
            <w:tcW w:w="12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5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3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小计</w:t>
            </w:r>
          </w:p>
        </w:tc>
        <w:tc>
          <w:tcPr>
            <w:tcW w:w="57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基本支出</w:t>
            </w:r>
          </w:p>
        </w:tc>
        <w:tc>
          <w:tcPr>
            <w:tcW w:w="6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项目支出</w:t>
            </w:r>
          </w:p>
        </w:tc>
        <w:tc>
          <w:tcPr>
            <w:tcW w:w="10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00" w:hRule="atLeast"/>
        </w:trPr>
        <w:tc>
          <w:tcPr>
            <w:tcW w:w="310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830"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cs="宋体"/>
                <w:color w:val="000000"/>
                <w:sz w:val="20"/>
                <w:szCs w:val="20"/>
              </w:rPr>
            </w:pPr>
          </w:p>
        </w:tc>
        <w:tc>
          <w:tcPr>
            <w:tcW w:w="12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5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57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0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00" w:hRule="atLeast"/>
        </w:trPr>
        <w:tc>
          <w:tcPr>
            <w:tcW w:w="310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830"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cs="宋体"/>
                <w:color w:val="000000"/>
                <w:sz w:val="20"/>
                <w:szCs w:val="20"/>
              </w:rPr>
            </w:pPr>
          </w:p>
        </w:tc>
        <w:tc>
          <w:tcPr>
            <w:tcW w:w="12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5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3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57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0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00" w:hRule="atLeast"/>
        </w:trPr>
        <w:tc>
          <w:tcPr>
            <w:tcW w:w="3930"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栏次</w:t>
            </w:r>
          </w:p>
        </w:tc>
        <w:tc>
          <w:tcPr>
            <w:tcW w:w="12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1</w:t>
            </w:r>
          </w:p>
        </w:tc>
        <w:tc>
          <w:tcPr>
            <w:tcW w:w="5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2</w:t>
            </w:r>
          </w:p>
        </w:tc>
        <w:tc>
          <w:tcPr>
            <w:tcW w:w="43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3</w:t>
            </w:r>
          </w:p>
        </w:tc>
        <w:tc>
          <w:tcPr>
            <w:tcW w:w="57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4</w:t>
            </w:r>
          </w:p>
        </w:tc>
        <w:tc>
          <w:tcPr>
            <w:tcW w:w="6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5</w:t>
            </w:r>
          </w:p>
        </w:tc>
        <w:tc>
          <w:tcPr>
            <w:tcW w:w="10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6</w:t>
            </w:r>
          </w:p>
        </w:tc>
      </w:tr>
      <w:tr>
        <w:tblPrEx>
          <w:tblCellMar>
            <w:top w:w="0" w:type="dxa"/>
            <w:left w:w="0" w:type="dxa"/>
            <w:bottom w:w="0" w:type="dxa"/>
            <w:right w:w="0" w:type="dxa"/>
          </w:tblCellMar>
        </w:tblPrEx>
        <w:trPr>
          <w:trHeight w:val="300" w:hRule="atLeast"/>
        </w:trPr>
        <w:tc>
          <w:tcPr>
            <w:tcW w:w="3930"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both"/>
              <w:textAlignment w:val="center"/>
              <w:rPr>
                <w:rFonts w:cs="宋体"/>
                <w:color w:val="000000"/>
                <w:sz w:val="20"/>
                <w:szCs w:val="20"/>
              </w:rPr>
            </w:pPr>
            <w:r>
              <w:rPr>
                <w:rFonts w:hint="eastAsia" w:cs="宋体"/>
                <w:color w:val="000000"/>
                <w:sz w:val="20"/>
                <w:szCs w:val="20"/>
              </w:rPr>
              <w:t>合计</w:t>
            </w:r>
          </w:p>
        </w:tc>
        <w:tc>
          <w:tcPr>
            <w:tcW w:w="12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5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4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5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6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10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r>
      <w:tr>
        <w:tblPrEx>
          <w:tblCellMar>
            <w:top w:w="0" w:type="dxa"/>
            <w:left w:w="0" w:type="dxa"/>
            <w:bottom w:w="0" w:type="dxa"/>
            <w:right w:w="0" w:type="dxa"/>
          </w:tblCellMar>
        </w:tblPrEx>
        <w:trPr>
          <w:trHeight w:val="300" w:hRule="atLeast"/>
        </w:trPr>
        <w:tc>
          <w:tcPr>
            <w:tcW w:w="310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宋体"/>
                <w:color w:val="000000"/>
                <w:sz w:val="20"/>
                <w:szCs w:val="20"/>
              </w:rPr>
            </w:pPr>
          </w:p>
        </w:tc>
        <w:tc>
          <w:tcPr>
            <w:tcW w:w="830" w:type="dxa"/>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rPr>
                <w:rFonts w:cs="宋体"/>
                <w:color w:val="000000"/>
                <w:sz w:val="20"/>
                <w:szCs w:val="20"/>
              </w:rPr>
            </w:pPr>
          </w:p>
        </w:tc>
        <w:tc>
          <w:tcPr>
            <w:tcW w:w="12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5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43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5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6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10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r>
      <w:tr>
        <w:tblPrEx>
          <w:tblCellMar>
            <w:top w:w="0" w:type="dxa"/>
            <w:left w:w="0" w:type="dxa"/>
            <w:bottom w:w="0" w:type="dxa"/>
            <w:right w:w="0" w:type="dxa"/>
          </w:tblCellMar>
        </w:tblPrEx>
        <w:trPr>
          <w:trHeight w:val="300" w:hRule="atLeast"/>
        </w:trPr>
        <w:tc>
          <w:tcPr>
            <w:tcW w:w="8520" w:type="dxa"/>
            <w:gridSpan w:val="11"/>
            <w:tcBorders>
              <w:top w:val="nil"/>
              <w:left w:val="nil"/>
              <w:bottom w:val="nil"/>
              <w:right w:val="nil"/>
            </w:tcBorders>
            <w:shd w:val="clear" w:color="auto" w:fill="FFFFFF"/>
            <w:noWrap/>
            <w:tcMar>
              <w:top w:w="15" w:type="dxa"/>
              <w:left w:w="15" w:type="dxa"/>
              <w:right w:w="15" w:type="dxa"/>
            </w:tcMar>
            <w:vAlign w:val="center"/>
          </w:tcPr>
          <w:p>
            <w:pPr>
              <w:pStyle w:val="14"/>
              <w:spacing w:before="0" w:beforeAutospacing="0"/>
              <w:ind w:firstLine="500" w:firstLineChars="250"/>
              <w:outlineLvl w:val="1"/>
              <w:rPr>
                <w:rFonts w:cs="楷体" w:asciiTheme="minorEastAsia" w:hAnsiTheme="minorEastAsia" w:eastAsiaTheme="minorEastAsia"/>
                <w:sz w:val="20"/>
                <w:szCs w:val="20"/>
                <w:shd w:val="clear" w:color="auto" w:fill="FFFFFF"/>
              </w:rPr>
            </w:pPr>
            <w:r>
              <w:rPr>
                <w:rFonts w:hint="eastAsia" w:cs="宋体"/>
                <w:color w:val="000000"/>
                <w:sz w:val="20"/>
                <w:szCs w:val="20"/>
              </w:rPr>
              <w:t>注：本表反映部门本年度政府性基金预算财政拨款收入、支出及结转和结余情况。</w:t>
            </w:r>
            <w:r>
              <w:rPr>
                <w:rFonts w:hint="eastAsia" w:cs="楷体" w:asciiTheme="minorEastAsia" w:hAnsiTheme="minorEastAsia" w:eastAsiaTheme="minorEastAsia"/>
                <w:sz w:val="20"/>
                <w:szCs w:val="20"/>
                <w:shd w:val="clear" w:color="auto" w:fill="FFFFFF"/>
              </w:rPr>
              <w:t>2020年度本部门无政府性基金收支，因此本表无数据。</w:t>
            </w:r>
          </w:p>
          <w:p>
            <w:pPr>
              <w:textAlignment w:val="center"/>
              <w:rPr>
                <w:rFonts w:cs="宋体"/>
                <w:color w:val="000000"/>
                <w:sz w:val="20"/>
                <w:szCs w:val="20"/>
              </w:rPr>
            </w:pPr>
          </w:p>
        </w:tc>
      </w:tr>
    </w:tbl>
    <w:p>
      <w:pPr>
        <w:pStyle w:val="14"/>
        <w:spacing w:before="0" w:beforeAutospacing="0"/>
        <w:jc w:val="center"/>
        <w:rPr>
          <w:rStyle w:val="17"/>
          <w:rFonts w:ascii="楷体" w:hAnsi="楷体" w:eastAsia="楷体" w:cs="楷体"/>
          <w:sz w:val="32"/>
          <w:szCs w:val="32"/>
          <w:shd w:val="clear" w:color="auto" w:fill="FFFFFF"/>
        </w:rPr>
      </w:pPr>
    </w:p>
    <w:p>
      <w:pPr>
        <w:pStyle w:val="14"/>
        <w:spacing w:before="0" w:beforeAutospacing="0"/>
        <w:ind w:firstLine="480" w:firstLineChars="150"/>
        <w:outlineLvl w:val="1"/>
        <w:rPr>
          <w:rStyle w:val="17"/>
          <w:rFonts w:ascii="黑体" w:hAnsi="黑体" w:eastAsia="黑体"/>
          <w:b w:val="0"/>
          <w:sz w:val="32"/>
          <w:szCs w:val="32"/>
        </w:rPr>
      </w:pPr>
      <w:r>
        <w:rPr>
          <w:rStyle w:val="17"/>
          <w:rFonts w:hint="eastAsia" w:ascii="黑体" w:hAnsi="黑体" w:eastAsia="黑体"/>
          <w:b w:val="0"/>
          <w:sz w:val="32"/>
          <w:szCs w:val="32"/>
        </w:rPr>
        <w:t>九、国有资本经营预算财政拨款支出决算表</w:t>
      </w:r>
    </w:p>
    <w:tbl>
      <w:tblPr>
        <w:tblStyle w:val="15"/>
        <w:tblW w:w="8457" w:type="dxa"/>
        <w:tblInd w:w="93" w:type="dxa"/>
        <w:tblLayout w:type="autofit"/>
        <w:tblCellMar>
          <w:top w:w="0" w:type="dxa"/>
          <w:left w:w="108" w:type="dxa"/>
          <w:bottom w:w="0" w:type="dxa"/>
          <w:right w:w="108" w:type="dxa"/>
        </w:tblCellMar>
      </w:tblPr>
      <w:tblGrid>
        <w:gridCol w:w="817"/>
        <w:gridCol w:w="817"/>
        <w:gridCol w:w="236"/>
        <w:gridCol w:w="154"/>
        <w:gridCol w:w="1393"/>
        <w:gridCol w:w="154"/>
        <w:gridCol w:w="1526"/>
        <w:gridCol w:w="154"/>
        <w:gridCol w:w="1526"/>
        <w:gridCol w:w="154"/>
        <w:gridCol w:w="1448"/>
        <w:gridCol w:w="78"/>
      </w:tblGrid>
      <w:tr>
        <w:tblPrEx>
          <w:tblCellMar>
            <w:top w:w="0" w:type="dxa"/>
            <w:left w:w="108" w:type="dxa"/>
            <w:bottom w:w="0" w:type="dxa"/>
            <w:right w:w="108" w:type="dxa"/>
          </w:tblCellMar>
        </w:tblPrEx>
        <w:trPr>
          <w:gridAfter w:val="1"/>
          <w:wAfter w:w="78" w:type="dxa"/>
          <w:trHeight w:val="300" w:hRule="atLeast"/>
        </w:trPr>
        <w:tc>
          <w:tcPr>
            <w:tcW w:w="817" w:type="dxa"/>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817" w:type="dxa"/>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390"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547"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680"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680"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448" w:type="dxa"/>
            <w:tcBorders>
              <w:top w:val="nil"/>
              <w:left w:val="nil"/>
              <w:bottom w:val="nil"/>
            </w:tcBorders>
            <w:shd w:val="clear" w:color="000000" w:fill="FFFFFF"/>
            <w:noWrap/>
            <w:vAlign w:val="center"/>
          </w:tcPr>
          <w:p>
            <w:pPr>
              <w:jc w:val="right"/>
              <w:rPr>
                <w:rFonts w:cs="Arial"/>
                <w:color w:val="000000"/>
                <w:sz w:val="21"/>
                <w:szCs w:val="21"/>
              </w:rPr>
            </w:pPr>
            <w:r>
              <w:rPr>
                <w:rFonts w:hint="eastAsia" w:cs="Arial"/>
                <w:color w:val="000000"/>
                <w:sz w:val="21"/>
                <w:szCs w:val="21"/>
              </w:rPr>
              <w:t>公开09表</w:t>
            </w:r>
          </w:p>
        </w:tc>
      </w:tr>
      <w:tr>
        <w:tblPrEx>
          <w:tblCellMar>
            <w:top w:w="0" w:type="dxa"/>
            <w:left w:w="108" w:type="dxa"/>
            <w:bottom w:w="0" w:type="dxa"/>
            <w:right w:w="108" w:type="dxa"/>
          </w:tblCellMar>
        </w:tblPrEx>
        <w:trPr>
          <w:trHeight w:val="300" w:hRule="atLeast"/>
        </w:trPr>
        <w:tc>
          <w:tcPr>
            <w:tcW w:w="3417" w:type="dxa"/>
            <w:gridSpan w:val="5"/>
            <w:tcBorders>
              <w:top w:val="nil"/>
              <w:left w:val="nil"/>
              <w:bottom w:val="single" w:color="808080" w:sz="4" w:space="0"/>
              <w:right w:val="nil"/>
            </w:tcBorders>
            <w:shd w:val="clear" w:color="000000" w:fill="FFFFFF"/>
            <w:noWrap/>
            <w:vAlign w:val="center"/>
          </w:tcPr>
          <w:p>
            <w:pPr>
              <w:rPr>
                <w:rFonts w:cs="Arial"/>
                <w:color w:val="000000"/>
                <w:sz w:val="21"/>
                <w:szCs w:val="21"/>
              </w:rPr>
            </w:pPr>
            <w:r>
              <w:rPr>
                <w:rFonts w:hint="eastAsia" w:cs="Arial"/>
                <w:color w:val="000000"/>
                <w:sz w:val="21"/>
                <w:szCs w:val="21"/>
              </w:rPr>
              <w:t>部门：娄</w:t>
            </w:r>
            <w:r>
              <w:rPr>
                <w:rFonts w:hint="eastAsia" w:cs="宋体"/>
                <w:color w:val="000000"/>
                <w:sz w:val="21"/>
                <w:szCs w:val="21"/>
              </w:rPr>
              <w:t>底市娄星区人民检察院</w:t>
            </w:r>
          </w:p>
        </w:tc>
        <w:tc>
          <w:tcPr>
            <w:tcW w:w="1680" w:type="dxa"/>
            <w:gridSpan w:val="2"/>
            <w:tcBorders>
              <w:top w:val="nil"/>
              <w:left w:val="nil"/>
              <w:bottom w:val="single" w:color="auto" w:sz="4" w:space="0"/>
              <w:right w:val="nil"/>
            </w:tcBorders>
            <w:shd w:val="clear" w:color="000000" w:fill="FFFFFF"/>
            <w:noWrap/>
            <w:vAlign w:val="center"/>
          </w:tcPr>
          <w:p>
            <w:pPr>
              <w:rPr>
                <w:rFonts w:cs="Arial"/>
                <w:sz w:val="21"/>
                <w:szCs w:val="21"/>
              </w:rPr>
            </w:pPr>
            <w:r>
              <w:rPr>
                <w:rFonts w:hint="eastAsia" w:cs="Arial"/>
                <w:sz w:val="21"/>
                <w:szCs w:val="21"/>
              </w:rPr>
              <w:t>　</w:t>
            </w:r>
            <w:r>
              <w:rPr>
                <w:rFonts w:hint="eastAsia" w:cs="Arial"/>
                <w:color w:val="000000"/>
                <w:sz w:val="21"/>
                <w:szCs w:val="21"/>
              </w:rPr>
              <w:t>2020年度</w:t>
            </w:r>
          </w:p>
        </w:tc>
        <w:tc>
          <w:tcPr>
            <w:tcW w:w="3360" w:type="dxa"/>
            <w:gridSpan w:val="5"/>
            <w:tcBorders>
              <w:top w:val="nil"/>
              <w:left w:val="nil"/>
              <w:bottom w:val="single" w:color="auto" w:sz="4" w:space="0"/>
            </w:tcBorders>
            <w:shd w:val="clear" w:color="000000" w:fill="FFFFFF"/>
            <w:noWrap/>
            <w:vAlign w:val="center"/>
          </w:tcPr>
          <w:p>
            <w:pPr>
              <w:jc w:val="right"/>
              <w:rPr>
                <w:rFonts w:cs="Arial"/>
                <w:color w:val="000000"/>
                <w:sz w:val="21"/>
                <w:szCs w:val="21"/>
              </w:rPr>
            </w:pPr>
            <w:r>
              <w:rPr>
                <w:rFonts w:hint="eastAsia" w:cs="Arial"/>
                <w:sz w:val="21"/>
                <w:szCs w:val="21"/>
              </w:rPr>
              <w:t>　</w:t>
            </w:r>
            <w:r>
              <w:rPr>
                <w:rFonts w:hint="eastAsia" w:cs="Arial"/>
                <w:color w:val="000000"/>
                <w:sz w:val="21"/>
                <w:szCs w:val="21"/>
              </w:rPr>
              <w:t>金额单位：万元</w:t>
            </w: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auto" w:sz="4" w:space="0"/>
            </w:tcBorders>
            <w:shd w:val="clear" w:color="000000" w:fill="C0C0C0"/>
            <w:noWrap/>
            <w:vAlign w:val="center"/>
          </w:tcPr>
          <w:p>
            <w:pPr>
              <w:rPr>
                <w:rFonts w:cs="Arial"/>
                <w:sz w:val="20"/>
                <w:szCs w:val="20"/>
              </w:rPr>
            </w:pPr>
            <w:r>
              <w:rPr>
                <w:rFonts w:hint="eastAsia" w:cs="Arial"/>
                <w:sz w:val="20"/>
                <w:szCs w:val="20"/>
              </w:rPr>
              <w:t>项目</w:t>
            </w:r>
          </w:p>
        </w:tc>
        <w:tc>
          <w:tcPr>
            <w:tcW w:w="5040" w:type="dxa"/>
            <w:gridSpan w:val="7"/>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00" w:hRule="atLeast"/>
        </w:trPr>
        <w:tc>
          <w:tcPr>
            <w:tcW w:w="187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1547" w:type="dxa"/>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1680" w:type="dxa"/>
            <w:gridSpan w:val="3"/>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300"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1680"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1680"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1680"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合计</w:t>
            </w:r>
          </w:p>
        </w:tc>
        <w:tc>
          <w:tcPr>
            <w:tcW w:w="1680" w:type="dxa"/>
            <w:gridSpan w:val="2"/>
            <w:tcBorders>
              <w:top w:val="nil"/>
              <w:left w:val="nil"/>
              <w:bottom w:val="single" w:color="000000" w:sz="4" w:space="0"/>
              <w:right w:val="single" w:color="000000" w:sz="4" w:space="0"/>
            </w:tcBorders>
            <w:shd w:val="clear" w:color="000000" w:fill="00FF00"/>
            <w:noWrap/>
            <w:vAlign w:val="center"/>
          </w:tcPr>
          <w:p>
            <w:pPr>
              <w:jc w:val="right"/>
              <w:rPr>
                <w:rFonts w:cs="Arial"/>
                <w:b/>
                <w:bCs/>
                <w:sz w:val="20"/>
                <w:szCs w:val="20"/>
              </w:rPr>
            </w:pPr>
            <w:r>
              <w:rPr>
                <w:rFonts w:hint="eastAsia" w:cs="Arial"/>
                <w:b/>
                <w:bCs/>
                <w:sz w:val="20"/>
                <w:szCs w:val="20"/>
              </w:rPr>
              <w:t>0.00　</w:t>
            </w:r>
          </w:p>
        </w:tc>
        <w:tc>
          <w:tcPr>
            <w:tcW w:w="1680" w:type="dxa"/>
            <w:gridSpan w:val="2"/>
            <w:tcBorders>
              <w:top w:val="nil"/>
              <w:left w:val="nil"/>
              <w:bottom w:val="single" w:color="000000" w:sz="4" w:space="0"/>
              <w:right w:val="single" w:color="000000" w:sz="4" w:space="0"/>
            </w:tcBorders>
            <w:shd w:val="clear" w:color="000000" w:fill="00FF00"/>
            <w:noWrap/>
            <w:vAlign w:val="center"/>
          </w:tcPr>
          <w:p>
            <w:pPr>
              <w:jc w:val="right"/>
              <w:rPr>
                <w:rFonts w:cs="Arial"/>
                <w:b/>
                <w:bCs/>
                <w:sz w:val="20"/>
                <w:szCs w:val="20"/>
              </w:rPr>
            </w:pPr>
            <w:r>
              <w:rPr>
                <w:rFonts w:hint="eastAsia" w:cs="Arial"/>
                <w:b/>
                <w:bCs/>
                <w:sz w:val="20"/>
                <w:szCs w:val="20"/>
              </w:rPr>
              <w:t>0.00　</w:t>
            </w:r>
          </w:p>
        </w:tc>
        <w:tc>
          <w:tcPr>
            <w:tcW w:w="1680" w:type="dxa"/>
            <w:gridSpan w:val="3"/>
            <w:tcBorders>
              <w:top w:val="nil"/>
              <w:left w:val="nil"/>
              <w:bottom w:val="single" w:color="000000" w:sz="4" w:space="0"/>
              <w:right w:val="single" w:color="000000" w:sz="4" w:space="0"/>
            </w:tcBorders>
            <w:shd w:val="clear" w:color="000000" w:fill="00FF00"/>
            <w:noWrap/>
            <w:vAlign w:val="center"/>
          </w:tcPr>
          <w:p>
            <w:pPr>
              <w:jc w:val="right"/>
              <w:rPr>
                <w:rFonts w:cs="Arial"/>
                <w:b/>
                <w:bCs/>
                <w:sz w:val="20"/>
                <w:szCs w:val="20"/>
              </w:rPr>
            </w:pPr>
            <w:r>
              <w:rPr>
                <w:rFonts w:hint="eastAsia" w:cs="Arial"/>
                <w:b/>
                <w:bCs/>
                <w:sz w:val="20"/>
                <w:szCs w:val="20"/>
              </w:rPr>
              <w:t>0.00　</w:t>
            </w:r>
          </w:p>
        </w:tc>
      </w:tr>
      <w:tr>
        <w:tblPrEx>
          <w:tblCellMar>
            <w:top w:w="0" w:type="dxa"/>
            <w:left w:w="108" w:type="dxa"/>
            <w:bottom w:w="0" w:type="dxa"/>
            <w:right w:w="108" w:type="dxa"/>
          </w:tblCellMar>
        </w:tblPrEx>
        <w:trPr>
          <w:trHeight w:val="300" w:hRule="atLeast"/>
        </w:trPr>
        <w:tc>
          <w:tcPr>
            <w:tcW w:w="1870"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　</w:t>
            </w:r>
          </w:p>
        </w:tc>
        <w:tc>
          <w:tcPr>
            <w:tcW w:w="1547" w:type="dxa"/>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680"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8457" w:type="dxa"/>
            <w:gridSpan w:val="12"/>
            <w:tcBorders>
              <w:top w:val="nil"/>
              <w:left w:val="nil"/>
              <w:bottom w:val="nil"/>
              <w:right w:val="nil"/>
            </w:tcBorders>
            <w:shd w:val="clear" w:color="000000" w:fill="FFFFFF"/>
            <w:noWrap/>
            <w:vAlign w:val="center"/>
          </w:tcPr>
          <w:p>
            <w:pPr>
              <w:pStyle w:val="14"/>
              <w:spacing w:before="0" w:beforeAutospacing="0"/>
              <w:ind w:firstLine="500" w:firstLineChars="250"/>
              <w:outlineLvl w:val="1"/>
              <w:rPr>
                <w:rFonts w:cs="楷体" w:asciiTheme="minorEastAsia" w:hAnsiTheme="minorEastAsia" w:eastAsiaTheme="minorEastAsia"/>
                <w:sz w:val="20"/>
                <w:szCs w:val="20"/>
                <w:shd w:val="clear" w:color="auto" w:fill="FFFFFF"/>
              </w:rPr>
            </w:pPr>
            <w:r>
              <w:rPr>
                <w:rFonts w:hint="eastAsia" w:cs="Arial"/>
                <w:sz w:val="20"/>
                <w:szCs w:val="20"/>
              </w:rPr>
              <w:t>注：本表反映部门本年度国有资本经营预算财政拨款支出情况。</w:t>
            </w:r>
            <w:r>
              <w:rPr>
                <w:rFonts w:hint="eastAsia" w:cs="楷体" w:asciiTheme="minorEastAsia" w:hAnsiTheme="minorEastAsia" w:eastAsiaTheme="minorEastAsia"/>
                <w:sz w:val="20"/>
                <w:szCs w:val="20"/>
                <w:shd w:val="clear" w:color="auto" w:fill="FFFFFF"/>
              </w:rPr>
              <w:t>2020年度本部门无国有资本经营预算收支，因此本表无数据。</w:t>
            </w:r>
          </w:p>
          <w:p>
            <w:pPr>
              <w:rPr>
                <w:rFonts w:cs="Arial"/>
                <w:sz w:val="20"/>
                <w:szCs w:val="20"/>
              </w:rPr>
            </w:pPr>
          </w:p>
        </w:tc>
      </w:tr>
    </w:tbl>
    <w:p>
      <w:pPr>
        <w:rPr>
          <w:rStyle w:val="17"/>
          <w:rFonts w:ascii="楷体" w:hAnsi="楷体" w:eastAsia="楷体" w:cs="楷体"/>
          <w:sz w:val="32"/>
          <w:szCs w:val="32"/>
          <w:shd w:val="clear" w:color="auto" w:fill="FFFFFF"/>
        </w:rPr>
      </w:pPr>
      <w:r>
        <w:rPr>
          <w:rStyle w:val="17"/>
          <w:rFonts w:ascii="楷体" w:hAnsi="楷体" w:eastAsia="楷体" w:cs="楷体"/>
          <w:sz w:val="32"/>
          <w:szCs w:val="32"/>
          <w:shd w:val="clear" w:color="auto" w:fill="FFFFFF"/>
        </w:rPr>
        <w:br w:type="page"/>
      </w:r>
    </w:p>
    <w:p>
      <w:pPr>
        <w:pStyle w:val="14"/>
        <w:spacing w:before="0" w:beforeAutospacing="0"/>
        <w:jc w:val="center"/>
        <w:outlineLvl w:val="0"/>
        <w:rPr>
          <w:rFonts w:ascii="方正小标宋_GBK" w:eastAsia="方正小标宋_GBK" w:cs="宋体"/>
          <w:sz w:val="44"/>
          <w:szCs w:val="44"/>
        </w:rPr>
      </w:pPr>
      <w:bookmarkStart w:id="14" w:name="_Toc1903"/>
      <w:r>
        <w:rPr>
          <w:rStyle w:val="17"/>
          <w:rFonts w:hint="eastAsia" w:ascii="方正小标宋_GBK" w:hAnsi="黑体" w:eastAsia="方正小标宋_GBK" w:cs="黑体"/>
          <w:sz w:val="44"/>
          <w:szCs w:val="44"/>
          <w:shd w:val="clear" w:color="auto" w:fill="FFFFFF"/>
        </w:rPr>
        <w:t>第三部分 2020年度部门决算情况说明</w:t>
      </w:r>
      <w:bookmarkEnd w:id="14"/>
    </w:p>
    <w:p>
      <w:pPr>
        <w:pStyle w:val="14"/>
        <w:spacing w:before="0" w:beforeAutospacing="0" w:after="0" w:afterAutospacing="0" w:line="560" w:lineRule="exact"/>
        <w:ind w:firstLine="640" w:firstLineChars="200"/>
        <w:outlineLvl w:val="1"/>
        <w:rPr>
          <w:rStyle w:val="17"/>
          <w:rFonts w:ascii="黑体" w:hAnsi="黑体" w:eastAsia="黑体"/>
          <w:color w:val="FF0000"/>
          <w:shd w:val="clear" w:color="auto" w:fill="FFFFFF"/>
        </w:rPr>
      </w:pPr>
      <w:r>
        <w:rPr>
          <w:rStyle w:val="17"/>
          <w:rFonts w:hint="eastAsia" w:ascii="黑体" w:hAnsi="黑体" w:eastAsia="黑体" w:cs="楷体"/>
          <w:b w:val="0"/>
          <w:sz w:val="32"/>
          <w:szCs w:val="32"/>
          <w:shd w:val="clear" w:color="auto" w:fill="FFFFFF"/>
        </w:rPr>
        <w:t>一</w:t>
      </w:r>
      <w:bookmarkStart w:id="15" w:name="_Toc20259"/>
      <w:bookmarkStart w:id="16" w:name="_Toc8716"/>
      <w:r>
        <w:rPr>
          <w:rStyle w:val="17"/>
          <w:rFonts w:hint="eastAsia" w:ascii="黑体" w:hAnsi="黑体" w:eastAsia="黑体" w:cs="楷体"/>
          <w:b w:val="0"/>
          <w:sz w:val="32"/>
          <w:szCs w:val="32"/>
          <w:shd w:val="clear" w:color="auto" w:fill="FFFFFF"/>
        </w:rPr>
        <w:t>、收入支出决算总体情况说明</w:t>
      </w:r>
      <w:bookmarkEnd w:id="15"/>
      <w:bookmarkEnd w:id="16"/>
    </w:p>
    <w:p>
      <w:pPr>
        <w:pStyle w:val="14"/>
        <w:spacing w:before="0" w:beforeAutospacing="0" w:after="0" w:afterAutospacing="0" w:line="560" w:lineRule="exact"/>
        <w:ind w:firstLine="640" w:firstLineChars="200"/>
        <w:rPr>
          <w:rFonts w:ascii="仿宋_GB2312" w:eastAsia="仿宋_GB2312" w:cs="宋体"/>
          <w:sz w:val="32"/>
          <w:szCs w:val="32"/>
        </w:rPr>
      </w:pPr>
      <w:bookmarkStart w:id="17" w:name="_Toc20242"/>
      <w:r>
        <w:rPr>
          <w:rFonts w:hint="eastAsia" w:ascii="仿宋_GB2312" w:eastAsia="仿宋_GB2312" w:cs="宋体"/>
          <w:sz w:val="32"/>
          <w:szCs w:val="32"/>
        </w:rPr>
        <w:t>2020年收入、支出总计2144.7万元，较2019年2333.21万元减少188.51万元，降幅8.08%。收支下降的主要原因是为落实中央和省委省政府过“紧”日子的政策要求，压减一般性支出。</w:t>
      </w:r>
    </w:p>
    <w:p>
      <w:pPr>
        <w:pStyle w:val="14"/>
        <w:spacing w:before="0" w:beforeAutospacing="0" w:after="0" w:afterAutospacing="0" w:line="560" w:lineRule="exact"/>
        <w:ind w:firstLine="640" w:firstLineChars="200"/>
        <w:outlineLvl w:val="1"/>
        <w:rPr>
          <w:rStyle w:val="17"/>
          <w:rFonts w:ascii="黑体" w:hAnsi="黑体" w:eastAsia="黑体" w:cs="楷体"/>
          <w:b w:val="0"/>
          <w:sz w:val="32"/>
          <w:szCs w:val="32"/>
          <w:shd w:val="clear" w:color="auto" w:fill="FFFFFF"/>
        </w:rPr>
      </w:pPr>
      <w:bookmarkStart w:id="18" w:name="_Toc1157"/>
      <w:r>
        <w:rPr>
          <w:rStyle w:val="17"/>
          <w:rFonts w:hint="eastAsia" w:ascii="黑体" w:hAnsi="黑体" w:eastAsia="黑体" w:cs="楷体"/>
          <w:b w:val="0"/>
          <w:sz w:val="32"/>
          <w:szCs w:val="32"/>
          <w:shd w:val="clear" w:color="auto" w:fill="FFFFFF"/>
        </w:rPr>
        <w:t>二、收入决算情况说明</w:t>
      </w:r>
      <w:bookmarkEnd w:id="17"/>
      <w:bookmarkEnd w:id="18"/>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cs="宋体"/>
          <w:sz w:val="32"/>
          <w:szCs w:val="32"/>
        </w:rPr>
        <w:t>1856.54</w:t>
      </w:r>
      <w:r>
        <w:rPr>
          <w:rFonts w:hint="eastAsia" w:ascii="仿宋_GB2312" w:eastAsia="仿宋_GB2312"/>
          <w:sz w:val="32"/>
          <w:szCs w:val="32"/>
        </w:rPr>
        <w:t>万元，其中，财政拨款收入</w:t>
      </w:r>
      <w:r>
        <w:rPr>
          <w:rFonts w:hint="eastAsia" w:ascii="仿宋_GB2312" w:eastAsia="仿宋_GB2312" w:cs="宋体"/>
          <w:sz w:val="32"/>
          <w:szCs w:val="32"/>
        </w:rPr>
        <w:t>1683.61</w:t>
      </w:r>
      <w:r>
        <w:rPr>
          <w:rFonts w:hint="eastAsia" w:ascii="仿宋_GB2312" w:eastAsia="仿宋_GB2312"/>
          <w:sz w:val="32"/>
          <w:szCs w:val="32"/>
        </w:rPr>
        <w:t>万元，占比</w:t>
      </w:r>
      <w:r>
        <w:rPr>
          <w:rFonts w:hint="eastAsia" w:ascii="仿宋_GB2312" w:eastAsia="仿宋_GB2312" w:cs="宋体"/>
          <w:sz w:val="32"/>
          <w:szCs w:val="32"/>
        </w:rPr>
        <w:t>90.69%</w:t>
      </w:r>
      <w:r>
        <w:rPr>
          <w:rFonts w:hint="eastAsia" w:ascii="仿宋_GB2312" w:eastAsia="仿宋_GB2312"/>
          <w:sz w:val="32"/>
          <w:szCs w:val="32"/>
        </w:rPr>
        <w:t>；其他收入172.93万元，占比9.31%。</w:t>
      </w:r>
    </w:p>
    <w:p>
      <w:pPr>
        <w:pStyle w:val="14"/>
        <w:spacing w:before="0" w:beforeAutospacing="0" w:after="0" w:afterAutospacing="0" w:line="560" w:lineRule="exact"/>
        <w:ind w:firstLine="640" w:firstLineChars="200"/>
        <w:outlineLvl w:val="1"/>
        <w:rPr>
          <w:rStyle w:val="17"/>
          <w:rFonts w:ascii="黑体" w:hAnsi="黑体" w:eastAsia="黑体" w:cs="楷体"/>
          <w:b w:val="0"/>
          <w:sz w:val="32"/>
          <w:szCs w:val="32"/>
          <w:shd w:val="clear" w:color="auto" w:fill="FFFFFF"/>
        </w:rPr>
      </w:pPr>
      <w:bookmarkStart w:id="19" w:name="_Toc32306"/>
      <w:bookmarkStart w:id="20" w:name="_Toc7581"/>
      <w:r>
        <w:rPr>
          <w:rStyle w:val="17"/>
          <w:rFonts w:hint="eastAsia" w:ascii="黑体" w:hAnsi="黑体" w:eastAsia="黑体" w:cs="楷体"/>
          <w:b w:val="0"/>
          <w:sz w:val="32"/>
          <w:szCs w:val="32"/>
          <w:shd w:val="clear" w:color="auto" w:fill="FFFFFF"/>
        </w:rPr>
        <w:t>三、支出决算情况说明</w:t>
      </w:r>
      <w:bookmarkEnd w:id="19"/>
      <w:bookmarkEnd w:id="20"/>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cs="宋体"/>
          <w:sz w:val="32"/>
          <w:szCs w:val="32"/>
        </w:rPr>
        <w:t>1995.65</w:t>
      </w:r>
      <w:r>
        <w:rPr>
          <w:rFonts w:hint="eastAsia" w:ascii="仿宋_GB2312" w:eastAsia="仿宋_GB2312"/>
          <w:sz w:val="32"/>
          <w:szCs w:val="32"/>
        </w:rPr>
        <w:t>万元，其中，基本支出1874.53万元，占比93.93%；项目支出121.12万元，占比6.07%。</w:t>
      </w:r>
    </w:p>
    <w:p>
      <w:pPr>
        <w:pStyle w:val="14"/>
        <w:spacing w:before="0" w:beforeAutospacing="0" w:after="0" w:afterAutospacing="0" w:line="560" w:lineRule="exact"/>
        <w:ind w:firstLine="640" w:firstLineChars="200"/>
        <w:outlineLvl w:val="1"/>
        <w:rPr>
          <w:rStyle w:val="17"/>
          <w:rFonts w:ascii="黑体" w:hAnsi="黑体" w:eastAsia="黑体" w:cs="楷体"/>
          <w:b w:val="0"/>
          <w:shd w:val="clear" w:color="auto" w:fill="FFFFFF"/>
        </w:rPr>
      </w:pPr>
      <w:bookmarkStart w:id="21" w:name="_Toc1788"/>
      <w:bookmarkStart w:id="22" w:name="_Toc19070"/>
      <w:r>
        <w:rPr>
          <w:rStyle w:val="17"/>
          <w:rFonts w:hint="eastAsia" w:ascii="黑体" w:hAnsi="黑体" w:eastAsia="黑体" w:cs="楷体"/>
          <w:b w:val="0"/>
          <w:sz w:val="32"/>
          <w:szCs w:val="32"/>
          <w:shd w:val="clear" w:color="auto" w:fill="FFFFFF"/>
        </w:rPr>
        <w:t>四、财政拨款收入支出决算总体情况说明</w:t>
      </w:r>
      <w:bookmarkEnd w:id="21"/>
      <w:bookmarkEnd w:id="22"/>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sz w:val="32"/>
          <w:szCs w:val="32"/>
        </w:rPr>
        <w:t>2020年度财政拨款收入、支出总计1738.77万元，较上年减少了119.27万元，降幅6.42%。</w:t>
      </w:r>
      <w:bookmarkStart w:id="23" w:name="_Toc330"/>
      <w:bookmarkStart w:id="24" w:name="_Toc28242"/>
      <w:r>
        <w:rPr>
          <w:rFonts w:hint="eastAsia" w:ascii="仿宋_GB2312" w:eastAsia="仿宋_GB2312" w:cs="宋体"/>
          <w:sz w:val="32"/>
          <w:szCs w:val="32"/>
        </w:rPr>
        <w:t>收支下降的主要原因是为落实中央和省委省政府过“紧”日子的政策要求，压减一般性支出。</w:t>
      </w:r>
    </w:p>
    <w:p>
      <w:pPr>
        <w:pStyle w:val="14"/>
        <w:spacing w:before="0" w:beforeAutospacing="0" w:after="0" w:afterAutospacing="0" w:line="560" w:lineRule="exact"/>
        <w:ind w:firstLine="640" w:firstLineChars="200"/>
        <w:rPr>
          <w:rStyle w:val="17"/>
          <w:rFonts w:ascii="黑体" w:hAnsi="黑体" w:eastAsia="黑体" w:cs="楷体"/>
          <w:b w:val="0"/>
          <w:shd w:val="clear" w:color="auto" w:fill="FFFFFF"/>
        </w:rPr>
      </w:pPr>
      <w:r>
        <w:rPr>
          <w:rStyle w:val="17"/>
          <w:rFonts w:hint="eastAsia" w:ascii="黑体" w:hAnsi="黑体" w:eastAsia="黑体" w:cs="楷体"/>
          <w:b w:val="0"/>
          <w:sz w:val="32"/>
          <w:szCs w:val="32"/>
          <w:shd w:val="clear" w:color="auto" w:fill="FFFFFF"/>
        </w:rPr>
        <w:t>五、一般公共预算财政拨款支出决算情况说明</w:t>
      </w:r>
      <w:bookmarkEnd w:id="23"/>
      <w:bookmarkEnd w:id="24"/>
    </w:p>
    <w:p>
      <w:pPr>
        <w:pStyle w:val="14"/>
        <w:spacing w:before="0" w:beforeAutospacing="0" w:after="0" w:afterAutospacing="0" w:line="560" w:lineRule="exact"/>
        <w:ind w:firstLine="640" w:firstLineChars="200"/>
        <w:rPr>
          <w:rStyle w:val="17"/>
          <w:rFonts w:ascii="楷体_GB2312" w:hAnsi="楷体" w:eastAsia="楷体_GB2312" w:cs="楷体"/>
          <w:b w:val="0"/>
          <w:sz w:val="32"/>
          <w:szCs w:val="32"/>
          <w:shd w:val="clear" w:color="auto" w:fill="FFFFFF"/>
        </w:rPr>
      </w:pPr>
      <w:r>
        <w:rPr>
          <w:rStyle w:val="17"/>
          <w:rFonts w:hint="eastAsia" w:ascii="楷体_GB2312" w:hAnsi="楷体" w:eastAsia="楷体_GB2312" w:cs="楷体"/>
          <w:b w:val="0"/>
          <w:sz w:val="32"/>
          <w:szCs w:val="32"/>
          <w:shd w:val="clear" w:color="auto" w:fill="FFFFFF"/>
        </w:rPr>
        <w:t>（一）财政拨款支出决算总体情况</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sz w:val="32"/>
          <w:szCs w:val="32"/>
        </w:rPr>
        <w:t>2020年度财政拨款支出1695.49万元，占本年支出合计的84.96%，较2019年度财政拨款支出增加10.43万元，增幅0.62%。财政拨款支出增加的主要原因</w:t>
      </w:r>
      <w:r>
        <w:rPr>
          <w:rFonts w:hint="eastAsia" w:ascii="仿宋_GB2312" w:eastAsia="仿宋_GB2312" w:cs="宋体"/>
          <w:sz w:val="32"/>
          <w:szCs w:val="32"/>
        </w:rPr>
        <w:t>是工资调增，人员经费增加。</w:t>
      </w:r>
    </w:p>
    <w:p>
      <w:pPr>
        <w:pStyle w:val="14"/>
        <w:spacing w:before="0" w:beforeAutospacing="0" w:after="0" w:afterAutospacing="0" w:line="560" w:lineRule="exact"/>
        <w:ind w:firstLine="640" w:firstLineChars="200"/>
        <w:rPr>
          <w:rStyle w:val="17"/>
          <w:rFonts w:ascii="楷体_GB2312" w:hAnsi="楷体" w:eastAsia="楷体_GB2312" w:cs="楷体"/>
          <w:b w:val="0"/>
          <w:sz w:val="32"/>
          <w:szCs w:val="32"/>
          <w:shd w:val="clear" w:color="auto" w:fill="FFFFFF"/>
        </w:rPr>
      </w:pPr>
      <w:r>
        <w:rPr>
          <w:rStyle w:val="17"/>
          <w:rFonts w:hint="eastAsia" w:ascii="楷体_GB2312" w:hAnsi="楷体" w:eastAsia="楷体_GB2312" w:cs="楷体"/>
          <w:b w:val="0"/>
          <w:sz w:val="32"/>
          <w:szCs w:val="32"/>
          <w:shd w:val="clear" w:color="auto" w:fill="FFFFFF"/>
        </w:rPr>
        <w:t>（二）财政拨款支出决算结构情况</w:t>
      </w:r>
    </w:p>
    <w:p>
      <w:pPr>
        <w:spacing w:line="560" w:lineRule="exact"/>
        <w:ind w:firstLine="640" w:firstLineChars="200"/>
        <w:rPr>
          <w:rFonts w:ascii="仿宋_GB2312" w:eastAsia="仿宋_GB2312"/>
          <w:color w:val="FF0000"/>
        </w:rPr>
      </w:pPr>
      <w:r>
        <w:rPr>
          <w:rFonts w:hint="eastAsia" w:ascii="仿宋_GB2312" w:eastAsia="仿宋_GB2312" w:cs="宋体"/>
          <w:sz w:val="32"/>
          <w:szCs w:val="32"/>
        </w:rPr>
        <w:t>2020年度财政拨款支出</w:t>
      </w:r>
      <w:r>
        <w:rPr>
          <w:rFonts w:hint="eastAsia" w:ascii="仿宋_GB2312" w:eastAsia="仿宋_GB2312"/>
          <w:sz w:val="32"/>
          <w:szCs w:val="32"/>
        </w:rPr>
        <w:t>1695.49</w:t>
      </w:r>
      <w:r>
        <w:rPr>
          <w:rFonts w:hint="eastAsia" w:ascii="仿宋_GB2312" w:eastAsia="仿宋_GB2312" w:cs="宋体"/>
          <w:sz w:val="32"/>
          <w:szCs w:val="32"/>
        </w:rPr>
        <w:t>万元，主要用于以下方面：公共安全支出1451.74万元，占比85.62%；教育支出7.16万元，占比0.42%；社会保障和就业支出77.09万元，占比4.55%；卫生健康支出61.5万元，占比3.63%；住房保障支出98万元，占比5.78%。</w:t>
      </w:r>
    </w:p>
    <w:p>
      <w:pPr>
        <w:pStyle w:val="14"/>
        <w:spacing w:before="0" w:beforeAutospacing="0" w:after="0" w:afterAutospacing="0" w:line="560" w:lineRule="exact"/>
        <w:ind w:firstLine="640" w:firstLineChars="200"/>
        <w:rPr>
          <w:rStyle w:val="17"/>
          <w:rFonts w:ascii="楷体_GB2312" w:hAnsi="楷体" w:eastAsia="楷体_GB2312" w:cs="楷体"/>
          <w:b w:val="0"/>
          <w:color w:val="FF0000"/>
          <w:shd w:val="clear" w:color="auto" w:fill="FFFFFF"/>
        </w:rPr>
      </w:pPr>
      <w:r>
        <w:rPr>
          <w:rStyle w:val="17"/>
          <w:rFonts w:hint="eastAsia" w:ascii="楷体_GB2312" w:hAnsi="楷体" w:eastAsia="楷体_GB2312" w:cs="楷体"/>
          <w:b w:val="0"/>
          <w:sz w:val="32"/>
          <w:szCs w:val="32"/>
          <w:shd w:val="clear" w:color="auto" w:fill="FFFFFF"/>
        </w:rPr>
        <w:t>（三）财政拨款支出决算具体情况</w:t>
      </w:r>
    </w:p>
    <w:p>
      <w:pPr>
        <w:spacing w:line="560" w:lineRule="exact"/>
        <w:ind w:firstLine="640" w:firstLineChars="200"/>
        <w:rPr>
          <w:rFonts w:ascii="仿宋_GB2312" w:eastAsia="仿宋_GB2312" w:cs="宋体"/>
        </w:rPr>
      </w:pPr>
      <w:r>
        <w:rPr>
          <w:rFonts w:hint="eastAsia" w:ascii="仿宋_GB2312" w:eastAsia="仿宋_GB2312" w:cs="宋体"/>
          <w:sz w:val="32"/>
          <w:szCs w:val="32"/>
        </w:rPr>
        <w:t>2020年度财政拨款支出年初预算数为1696.61万元，支出决算数为1695.49万元，完成年初预算的99.93%，其中：</w:t>
      </w:r>
      <w:r>
        <w:rPr>
          <w:rFonts w:hint="eastAsia" w:ascii="仿宋_GB2312" w:eastAsia="仿宋_GB2312" w:cs="宋体"/>
        </w:rPr>
        <w:t xml:space="preserve"> </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1.公共安全-检察-行政运行支出年初预算1337.02万元，决算数1297.47万元，完成年初预算的97.04%。决算数小于年初预算数的主要原因是：为落实中央和省委省政府过“紧”日子的政策要求，对一般性支出年初预算进行了压减。</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2.公共安全-检察-一般行政管理事务支出年初预算65万元，决算数121.12万元，完成年初预算的186.34%。决算数大于年初预算数的主要原因是：因办公办案工作需要年中追加相应的项目经费，同时本年度使用上年结转指标用于一般行政管理事务支出。</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3.公共安全-检察-检察监督支出年初预算为42万元，决算支出数33.15万元，完成年初预算的78.57%。决算数小于年初预算数的主要原因是为落实中央和省委省政府过“紧”日子的政策要求，对此支出年初预算进行了压减，另外受新冠疫情影响，差旅费开支减少。</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4.教育支出-进修及培训-培训支出年初预算14万元，决算数7.16万元，完成年初预算的51.14%。决算数小于预算数的主要原因是受新冠疫情影响，教育培训项目减少。</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5.社会保障和就业支出-行政事业单位养老支出-机关事业单位基本养老保险缴费支出年初预算75.09万元，决算数75.09万元，完成年初预算的100%。</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6.社会保障和就业支出-其他社会保障和就业支出-其他社会保障和就业支出年初预算2万元，决算数2万元，完成年初预算的100%。</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7.卫生健康支出-行政事业单位医疗-行政单位医疗支出年初预算45万元，决算数45万元，完成年初预算的100%。</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8.卫生健康支出-行政事业单位医疗-公务员医疗补助支出年初预算16.5万元，决算数16.5万元，完成年初预算的100%。</w:t>
      </w:r>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9.住房保障支出-住房改革支出-住房公积金支出年初预算100万元，决算数98万元，完成年初预算的98%。</w:t>
      </w:r>
    </w:p>
    <w:p>
      <w:pPr>
        <w:pStyle w:val="14"/>
        <w:spacing w:before="0" w:beforeAutospacing="0" w:after="0" w:afterAutospacing="0" w:line="560" w:lineRule="exact"/>
        <w:ind w:firstLine="640" w:firstLineChars="200"/>
        <w:outlineLvl w:val="1"/>
        <w:rPr>
          <w:rStyle w:val="17"/>
          <w:rFonts w:ascii="黑体" w:hAnsi="黑体" w:eastAsia="黑体" w:cs="楷体"/>
          <w:b w:val="0"/>
          <w:sz w:val="32"/>
          <w:szCs w:val="32"/>
          <w:shd w:val="clear" w:color="auto" w:fill="FFFFFF"/>
        </w:rPr>
      </w:pPr>
      <w:bookmarkStart w:id="25" w:name="_Toc3790"/>
      <w:bookmarkStart w:id="26" w:name="_Toc2717"/>
      <w:r>
        <w:rPr>
          <w:rStyle w:val="17"/>
          <w:rFonts w:hint="eastAsia" w:ascii="黑体" w:hAnsi="黑体" w:eastAsia="黑体" w:cs="楷体"/>
          <w:b w:val="0"/>
          <w:sz w:val="32"/>
          <w:szCs w:val="32"/>
          <w:shd w:val="clear" w:color="auto" w:fill="FFFFFF"/>
        </w:rPr>
        <w:t>六、一般公共预算财政拨款基本支出决算情况说明</w:t>
      </w:r>
      <w:bookmarkEnd w:id="25"/>
      <w:bookmarkEnd w:id="26"/>
    </w:p>
    <w:p>
      <w:pPr>
        <w:pStyle w:val="14"/>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2020年度财政拨款基本支出1574.36万元，其中：人员经费1008.06万元，占基本支出的64.03%,主要包括</w:t>
      </w:r>
      <w:r>
        <w:rPr>
          <w:rFonts w:hint="eastAsia" w:ascii="仿宋_GB2312" w:eastAsia="仿宋_GB2312"/>
          <w:sz w:val="32"/>
        </w:rPr>
        <w:t>基本工资、津贴补贴、奖金、机关事业单位基本养老保险缴费、职工基本医疗保险缴费、公务员医疗补助缴费、其他社会保障缴费、住房公积金、其他工资福利支出、生活补助、奖励金、其他对个人和家庭的补助支</w:t>
      </w:r>
      <w:r>
        <w:rPr>
          <w:rFonts w:hint="eastAsia" w:ascii="仿宋_GB2312" w:eastAsia="仿宋_GB2312" w:cs="宋体"/>
          <w:sz w:val="32"/>
          <w:szCs w:val="32"/>
        </w:rPr>
        <w:t>；公用经费566.3万元，占基本支出的35.97%，主要包括</w:t>
      </w:r>
      <w:r>
        <w:rPr>
          <w:rFonts w:hint="eastAsia" w:ascii="仿宋_GB2312" w:eastAsia="仿宋_GB2312"/>
          <w:sz w:val="32"/>
        </w:rPr>
        <w:t>办公费、印刷费、水费、电费、邮电费、物业管理费、差旅费、维修（护）费、培训费、公务接待费、劳务费、工会经费、福利费、公务用车运行维护费、其他交通费用、其他商品和服务支出。</w:t>
      </w:r>
    </w:p>
    <w:p>
      <w:pPr>
        <w:pStyle w:val="14"/>
        <w:spacing w:before="0" w:beforeAutospacing="0" w:after="0" w:afterAutospacing="0" w:line="560" w:lineRule="exact"/>
        <w:ind w:firstLine="640" w:firstLineChars="200"/>
        <w:outlineLvl w:val="1"/>
        <w:rPr>
          <w:rStyle w:val="17"/>
          <w:rFonts w:ascii="黑体" w:hAnsi="黑体" w:eastAsia="黑体" w:cs="楷体"/>
          <w:b w:val="0"/>
          <w:sz w:val="32"/>
          <w:szCs w:val="32"/>
          <w:shd w:val="clear" w:color="auto" w:fill="FFFFFF"/>
        </w:rPr>
      </w:pPr>
      <w:bookmarkStart w:id="27" w:name="_Toc428"/>
      <w:bookmarkStart w:id="28" w:name="_Toc18644"/>
      <w:r>
        <w:rPr>
          <w:rStyle w:val="17"/>
          <w:rFonts w:hint="eastAsia" w:ascii="黑体" w:hAnsi="黑体" w:eastAsia="黑体" w:cs="楷体"/>
          <w:b w:val="0"/>
          <w:sz w:val="32"/>
          <w:szCs w:val="32"/>
          <w:shd w:val="clear" w:color="auto" w:fill="FFFFFF"/>
        </w:rPr>
        <w:t>七、一般公共预算财政拨款三公经费支出决算情况说明</w:t>
      </w:r>
      <w:bookmarkEnd w:id="27"/>
      <w:bookmarkEnd w:id="28"/>
    </w:p>
    <w:p>
      <w:pPr>
        <w:pStyle w:val="14"/>
        <w:spacing w:before="0" w:beforeAutospacing="0" w:after="0" w:afterAutospacing="0" w:line="560" w:lineRule="exact"/>
        <w:ind w:firstLine="640" w:firstLineChars="200"/>
        <w:rPr>
          <w:rStyle w:val="17"/>
          <w:rFonts w:ascii="楷体_GB2312" w:hAnsi="楷体" w:eastAsia="楷体_GB2312" w:cs="楷体"/>
          <w:b w:val="0"/>
          <w:sz w:val="32"/>
          <w:szCs w:val="32"/>
          <w:shd w:val="clear" w:color="auto" w:fill="FFFFFF"/>
        </w:rPr>
      </w:pPr>
      <w:r>
        <w:rPr>
          <w:rStyle w:val="17"/>
          <w:rFonts w:hint="eastAsia" w:ascii="楷体_GB2312" w:hAnsi="楷体" w:eastAsia="楷体_GB2312" w:cs="楷体"/>
          <w:b w:val="0"/>
          <w:sz w:val="32"/>
          <w:szCs w:val="32"/>
          <w:shd w:val="clear" w:color="auto" w:fill="FFFFFF"/>
        </w:rPr>
        <w:t>（一）“三公”经费财政拨款支出决算总体情况说明</w:t>
      </w:r>
    </w:p>
    <w:p>
      <w:pPr>
        <w:pStyle w:val="14"/>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“三公”经费财政拨款支出预算为39.7万元，支出决算为39.67万元，完成预算的99.92%，其中：</w:t>
      </w:r>
    </w:p>
    <w:p>
      <w:pPr>
        <w:pStyle w:val="14"/>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因公出国（境）费支出预算为0万元，支出决算为0万元</w:t>
      </w:r>
      <w:r>
        <w:rPr>
          <w:rFonts w:hint="eastAsia" w:ascii="仿宋_GB2312" w:eastAsia="仿宋_GB2312"/>
          <w:sz w:val="32"/>
          <w:lang w:eastAsia="zh-CN"/>
        </w:rPr>
        <w:t>，预算数等于决算数</w:t>
      </w:r>
      <w:r>
        <w:rPr>
          <w:rFonts w:hint="eastAsia" w:ascii="仿宋_GB2312" w:eastAsia="仿宋_GB2312"/>
          <w:sz w:val="32"/>
        </w:rPr>
        <w:t>。</w:t>
      </w:r>
    </w:p>
    <w:p>
      <w:pPr>
        <w:pStyle w:val="14"/>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公务接待费支出预算为4.7万元，支出决算为1.47万元，完成预算的31.28%，决算数小于年初预算数的主要原因是进一步从严控制公务接待经费开支，全年实际支出比预算节约幅度较大，与上年相比增加0.2万元，增长15.98%,增长的主要原因是各院相互学习机会增加，公务接待任务加重。</w:t>
      </w:r>
    </w:p>
    <w:p>
      <w:pPr>
        <w:pStyle w:val="14"/>
        <w:spacing w:before="0" w:beforeAutospacing="0" w:after="0" w:afterAutospacing="0" w:line="560" w:lineRule="exact"/>
        <w:ind w:firstLine="640" w:firstLineChars="200"/>
        <w:rPr>
          <w:rFonts w:hint="eastAsia" w:ascii="仿宋_GB2312" w:eastAsia="仿宋_GB2312"/>
          <w:sz w:val="32"/>
        </w:rPr>
      </w:pPr>
      <w:r>
        <w:rPr>
          <w:rFonts w:hint="eastAsia" w:ascii="仿宋_GB2312" w:eastAsia="仿宋_GB2312"/>
          <w:sz w:val="32"/>
        </w:rPr>
        <w:t>公务用车运行维护费支出预算为35万元，支出决算为38.2万元，完成预算的109.14%，决算数大于年初预算数的主要原因是因为有车辆接近报废，相应的运行维护费用增加，因此在年中指标调整时从公务接待费调剂了3.2万元至公务用车运行维护费保证我院车辆的正常运行</w:t>
      </w:r>
      <w:r>
        <w:rPr>
          <w:rFonts w:hint="eastAsia" w:ascii="仿宋_GB2312" w:eastAsia="仿宋_GB2312"/>
          <w:sz w:val="32"/>
          <w:lang w:eastAsia="zh-CN"/>
        </w:rPr>
        <w:t>，</w:t>
      </w:r>
      <w:r>
        <w:rPr>
          <w:rFonts w:hint="eastAsia" w:ascii="仿宋_GB2312" w:eastAsia="仿宋_GB2312"/>
          <w:sz w:val="32"/>
        </w:rPr>
        <w:t>与上年相比增加0.48万元，增加0.13%,增加的主要原因是有车辆接近报废，相应的运行维护费用增加。</w:t>
      </w:r>
    </w:p>
    <w:p>
      <w:pPr>
        <w:pStyle w:val="14"/>
        <w:spacing w:before="0" w:beforeAutospacing="0" w:after="0" w:afterAutospacing="0" w:line="560" w:lineRule="exact"/>
        <w:ind w:firstLine="640" w:firstLineChars="200"/>
        <w:rPr>
          <w:rFonts w:hint="eastAsia" w:ascii="仿宋_GB2312" w:hAnsi="宋体" w:eastAsia="仿宋_GB2312"/>
          <w:sz w:val="32"/>
          <w:lang w:eastAsia="zh-CN"/>
        </w:rPr>
      </w:pPr>
      <w:r>
        <w:rPr>
          <w:rFonts w:hint="eastAsia" w:ascii="仿宋_GB2312" w:hAnsi="宋体" w:eastAsia="仿宋_GB2312"/>
          <w:sz w:val="32"/>
        </w:rPr>
        <w:t>公务用车购置费支出预算为</w:t>
      </w:r>
      <w:r>
        <w:rPr>
          <w:rFonts w:hint="eastAsia" w:ascii="仿宋_GB2312" w:hAnsi="宋体" w:eastAsia="仿宋_GB2312"/>
          <w:sz w:val="32"/>
          <w:lang w:val="en-US" w:eastAsia="zh-CN"/>
        </w:rPr>
        <w:t>0</w:t>
      </w:r>
      <w:r>
        <w:rPr>
          <w:rFonts w:hint="eastAsia" w:ascii="仿宋_GB2312" w:hAnsi="宋体" w:eastAsia="仿宋_GB2312"/>
          <w:sz w:val="32"/>
        </w:rPr>
        <w:t>万元，支出决算为</w:t>
      </w:r>
      <w:r>
        <w:rPr>
          <w:rFonts w:hint="eastAsia" w:ascii="仿宋_GB2312" w:hAnsi="宋体" w:eastAsia="仿宋_GB2312"/>
          <w:sz w:val="32"/>
          <w:lang w:val="en-US" w:eastAsia="zh-CN"/>
        </w:rPr>
        <w:t>0</w:t>
      </w:r>
      <w:r>
        <w:rPr>
          <w:rFonts w:hint="eastAsia" w:ascii="仿宋_GB2312" w:hAnsi="宋体" w:eastAsia="仿宋_GB2312"/>
          <w:sz w:val="32"/>
        </w:rPr>
        <w:t>万元</w:t>
      </w:r>
      <w:r>
        <w:rPr>
          <w:rFonts w:hint="eastAsia" w:ascii="仿宋_GB2312" w:hAnsi="宋体" w:eastAsia="仿宋_GB2312"/>
          <w:sz w:val="32"/>
          <w:lang w:eastAsia="zh-CN"/>
        </w:rPr>
        <w:t>。</w:t>
      </w:r>
    </w:p>
    <w:p>
      <w:pPr>
        <w:pStyle w:val="14"/>
        <w:spacing w:before="0" w:beforeAutospacing="0" w:after="0" w:afterAutospacing="0" w:line="560" w:lineRule="exact"/>
        <w:ind w:firstLine="640" w:firstLineChars="200"/>
        <w:rPr>
          <w:rStyle w:val="17"/>
          <w:rFonts w:ascii="楷体_GB2312" w:hAnsi="楷体" w:eastAsia="楷体_GB2312" w:cs="楷体"/>
          <w:b w:val="0"/>
          <w:sz w:val="32"/>
          <w:szCs w:val="32"/>
          <w:shd w:val="clear" w:color="auto" w:fill="FFFFFF"/>
        </w:rPr>
      </w:pPr>
      <w:r>
        <w:rPr>
          <w:rStyle w:val="17"/>
          <w:rFonts w:hint="eastAsia" w:ascii="楷体_GB2312" w:hAnsi="楷体" w:eastAsia="楷体_GB2312" w:cs="楷体"/>
          <w:b w:val="0"/>
          <w:sz w:val="32"/>
          <w:szCs w:val="32"/>
          <w:shd w:val="clear" w:color="auto" w:fill="FFFFFF"/>
        </w:rPr>
        <w:t>（二）“三公”经费财政拨款支出决算具体情况说明</w:t>
      </w:r>
    </w:p>
    <w:p>
      <w:pPr>
        <w:pStyle w:val="14"/>
        <w:spacing w:before="0" w:beforeAutospacing="0" w:after="0" w:afterAutospacing="0" w:line="560" w:lineRule="exact"/>
        <w:ind w:firstLine="640" w:firstLineChars="200"/>
        <w:rPr>
          <w:rFonts w:ascii="仿宋_GB2312" w:eastAsia="仿宋_GB2312"/>
          <w:color w:val="FF0000"/>
        </w:rPr>
      </w:pPr>
      <w:r>
        <w:rPr>
          <w:rFonts w:hint="eastAsia" w:ascii="仿宋_GB2312" w:eastAsia="仿宋_GB2312"/>
          <w:sz w:val="32"/>
        </w:rPr>
        <w:t>2020年度“三公”经费财政拨款支出决算中，公务接待费支出决算1.47万元，占3.71%,公务用车运行维护费支出决算38.2万元，占96.29%。其中：</w:t>
      </w:r>
    </w:p>
    <w:p>
      <w:pPr>
        <w:pStyle w:val="14"/>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 xml:space="preserve"> 1.公务接待费支出决算为1.47万元，全年共接待国内公务接待18次、国内公务接待150人次，主要是接待全国各地检察机关和国内相关部门交流工作和协办案件等。</w:t>
      </w:r>
    </w:p>
    <w:p>
      <w:pPr>
        <w:pStyle w:val="14"/>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eastAsia="仿宋_GB2312"/>
          <w:sz w:val="32"/>
        </w:rPr>
        <w:t>2.公务用车运行维护费支出决算为38.2万元，主要是用于机要通信、执法执勤和侦查办案等所需公务车辆的燃料费、维修费、过路过桥费、年审费和保险费等支出</w:t>
      </w:r>
      <w:r>
        <w:rPr>
          <w:rFonts w:hint="eastAsia" w:ascii="仿宋_GB2312" w:eastAsia="仿宋_GB2312"/>
          <w:sz w:val="32"/>
          <w:lang w:eastAsia="zh-CN"/>
        </w:rPr>
        <w:t>。</w:t>
      </w:r>
    </w:p>
    <w:p>
      <w:pPr>
        <w:pStyle w:val="14"/>
        <w:spacing w:before="0" w:beforeAutospacing="0" w:after="0" w:afterAutospacing="0" w:line="560" w:lineRule="exact"/>
        <w:ind w:firstLine="640" w:firstLineChars="200"/>
        <w:rPr>
          <w:rFonts w:hint="eastAsia" w:ascii="仿宋_GB2312" w:hAnsi="宋体" w:eastAsia="仿宋_GB2312"/>
          <w:sz w:val="32"/>
        </w:rPr>
      </w:pPr>
      <w:r>
        <w:rPr>
          <w:rFonts w:hint="eastAsia" w:ascii="仿宋_GB2312" w:hAnsi="宋体" w:eastAsia="仿宋_GB2312"/>
          <w:sz w:val="32"/>
          <w:lang w:val="en-US" w:eastAsia="zh-CN"/>
        </w:rPr>
        <w:t>3.</w:t>
      </w:r>
      <w:r>
        <w:rPr>
          <w:rFonts w:hint="eastAsia" w:ascii="仿宋_GB2312" w:hAnsi="宋体" w:eastAsia="仿宋_GB2312"/>
          <w:sz w:val="32"/>
        </w:rPr>
        <w:t>公务用车购置费</w:t>
      </w:r>
      <w:r>
        <w:rPr>
          <w:rFonts w:hint="eastAsia" w:ascii="仿宋_GB2312" w:hAnsi="宋体" w:eastAsia="仿宋_GB2312"/>
          <w:sz w:val="32"/>
          <w:lang w:val="en-US" w:eastAsia="zh-CN"/>
        </w:rPr>
        <w:t>0</w:t>
      </w:r>
      <w:r>
        <w:rPr>
          <w:rFonts w:hint="eastAsia" w:ascii="仿宋_GB2312" w:hAnsi="宋体" w:eastAsia="仿宋_GB2312"/>
          <w:sz w:val="32"/>
        </w:rPr>
        <w:t>万元，</w:t>
      </w:r>
      <w:r>
        <w:rPr>
          <w:rFonts w:hint="eastAsia" w:ascii="仿宋_GB2312" w:hAnsi="宋体" w:eastAsia="仿宋_GB2312"/>
          <w:sz w:val="32"/>
          <w:lang w:eastAsia="zh-CN"/>
        </w:rPr>
        <w:t>未购置</w:t>
      </w:r>
      <w:r>
        <w:rPr>
          <w:rFonts w:hint="eastAsia" w:ascii="仿宋_GB2312" w:hAnsi="宋体" w:eastAsia="仿宋_GB2312"/>
          <w:sz w:val="32"/>
        </w:rPr>
        <w:t>公务用车</w:t>
      </w:r>
      <w:r>
        <w:rPr>
          <w:rFonts w:hint="eastAsia" w:ascii="仿宋_GB2312" w:hAnsi="宋体" w:eastAsia="仿宋_GB2312"/>
          <w:sz w:val="32"/>
          <w:lang w:eastAsia="zh-CN"/>
        </w:rPr>
        <w:t>车</w:t>
      </w:r>
      <w:r>
        <w:rPr>
          <w:rFonts w:hint="eastAsia" w:ascii="仿宋_GB2312" w:hAnsi="宋体" w:eastAsia="仿宋_GB2312"/>
          <w:sz w:val="32"/>
        </w:rPr>
        <w:t>辆</w:t>
      </w:r>
      <w:r>
        <w:rPr>
          <w:rFonts w:hint="eastAsia" w:ascii="仿宋_GB2312" w:hAnsi="宋体" w:eastAsia="仿宋_GB2312"/>
          <w:sz w:val="32"/>
          <w:lang w:eastAsia="zh-CN"/>
        </w:rPr>
        <w:t>。</w:t>
      </w:r>
      <w:r>
        <w:rPr>
          <w:rFonts w:hint="eastAsia" w:ascii="仿宋_GB2312" w:hAnsi="宋体" w:eastAsia="仿宋_GB2312"/>
          <w:sz w:val="32"/>
        </w:rPr>
        <w:t>截止2020年12月31日，我院的公务用车保有量为6辆。</w:t>
      </w:r>
    </w:p>
    <w:p>
      <w:pPr>
        <w:pStyle w:val="14"/>
        <w:spacing w:before="0" w:beforeAutospacing="0" w:after="0" w:afterAutospacing="0" w:line="560" w:lineRule="exact"/>
        <w:ind w:firstLine="640" w:firstLineChars="200"/>
        <w:outlineLvl w:val="1"/>
        <w:rPr>
          <w:rStyle w:val="17"/>
          <w:rFonts w:ascii="黑体" w:hAnsi="黑体" w:eastAsia="黑体" w:cs="楷体"/>
          <w:b w:val="0"/>
          <w:sz w:val="32"/>
          <w:szCs w:val="32"/>
          <w:shd w:val="clear" w:color="auto" w:fill="FFFFFF"/>
        </w:rPr>
      </w:pPr>
      <w:bookmarkStart w:id="29" w:name="_Toc5526"/>
      <w:bookmarkStart w:id="30" w:name="_Toc25792"/>
      <w:r>
        <w:rPr>
          <w:rStyle w:val="17"/>
          <w:rFonts w:hint="eastAsia" w:ascii="黑体" w:hAnsi="黑体" w:eastAsia="黑体" w:cs="楷体"/>
          <w:b w:val="0"/>
          <w:sz w:val="32"/>
          <w:szCs w:val="32"/>
          <w:shd w:val="clear" w:color="auto" w:fill="FFFFFF"/>
        </w:rPr>
        <w:t>八、政府性基金预算收入支出决算情况</w:t>
      </w:r>
      <w:bookmarkEnd w:id="29"/>
      <w:bookmarkEnd w:id="30"/>
    </w:p>
    <w:p>
      <w:pPr>
        <w:pStyle w:val="14"/>
        <w:spacing w:before="0" w:beforeAutospacing="0" w:after="0" w:afterAutospacing="0" w:line="560" w:lineRule="exact"/>
        <w:ind w:firstLine="640" w:firstLineChars="200"/>
        <w:rPr>
          <w:rFonts w:eastAsia="仿宋_GB2312"/>
          <w:sz w:val="32"/>
        </w:rPr>
      </w:pPr>
      <w:r>
        <w:rPr>
          <w:rFonts w:eastAsia="仿宋_GB2312"/>
          <w:sz w:val="32"/>
        </w:rPr>
        <w:t>20</w:t>
      </w:r>
      <w:r>
        <w:rPr>
          <w:rFonts w:hint="eastAsia" w:eastAsia="仿宋_GB2312"/>
          <w:sz w:val="32"/>
        </w:rPr>
        <w:t>20</w:t>
      </w:r>
      <w:r>
        <w:rPr>
          <w:rFonts w:eastAsia="仿宋_GB2312"/>
          <w:sz w:val="32"/>
        </w:rPr>
        <w:t>年度本单位无政府性基金收支</w:t>
      </w:r>
      <w:r>
        <w:rPr>
          <w:rFonts w:hint="eastAsia" w:eastAsia="仿宋_GB2312"/>
          <w:sz w:val="32"/>
        </w:rPr>
        <w:t>。</w:t>
      </w:r>
    </w:p>
    <w:p>
      <w:pPr>
        <w:pStyle w:val="14"/>
        <w:spacing w:before="0" w:beforeAutospacing="0" w:after="0" w:afterAutospacing="0" w:line="560" w:lineRule="exact"/>
        <w:ind w:firstLine="640" w:firstLineChars="200"/>
        <w:rPr>
          <w:rStyle w:val="17"/>
          <w:rFonts w:ascii="黑体" w:hAnsi="黑体" w:eastAsia="黑体" w:cs="楷体"/>
          <w:b w:val="0"/>
          <w:color w:val="FF0000"/>
          <w:shd w:val="clear" w:color="auto" w:fill="FFFFFF"/>
        </w:rPr>
      </w:pPr>
      <w:bookmarkStart w:id="31" w:name="_Toc7846"/>
      <w:bookmarkStart w:id="32" w:name="_Toc5899"/>
      <w:r>
        <w:rPr>
          <w:rStyle w:val="17"/>
          <w:rFonts w:hint="eastAsia" w:ascii="黑体" w:hAnsi="黑体" w:eastAsia="黑体" w:cs="楷体"/>
          <w:b w:val="0"/>
          <w:sz w:val="32"/>
          <w:szCs w:val="32"/>
          <w:shd w:val="clear" w:color="auto" w:fill="FFFFFF"/>
        </w:rPr>
        <w:t>九、关于机关运行经费支出说明</w:t>
      </w:r>
    </w:p>
    <w:p>
      <w:pPr>
        <w:pStyle w:val="14"/>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本部门2020年度机关运行经费支出566.3万元，比2019年增加11.62万元，增幅2.09%,主要原因是：因办案成本不可预见性的增加，本年机关运行经费随之增加。</w:t>
      </w:r>
    </w:p>
    <w:p>
      <w:pPr>
        <w:pStyle w:val="14"/>
        <w:spacing w:before="0" w:beforeAutospacing="0" w:after="0" w:afterAutospacing="0" w:line="560" w:lineRule="exact"/>
        <w:ind w:firstLine="640" w:firstLineChars="200"/>
        <w:rPr>
          <w:rFonts w:ascii="黑体" w:hAnsi="黑体" w:eastAsia="黑体"/>
          <w:color w:val="FF0000"/>
        </w:rPr>
      </w:pPr>
      <w:r>
        <w:rPr>
          <w:rStyle w:val="17"/>
          <w:rFonts w:hint="eastAsia" w:ascii="黑体" w:hAnsi="黑体" w:eastAsia="黑体" w:cs="楷体"/>
          <w:b w:val="0"/>
          <w:sz w:val="32"/>
          <w:szCs w:val="32"/>
          <w:shd w:val="clear" w:color="auto" w:fill="FFFFFF"/>
        </w:rPr>
        <w:t>十、一般性支出情况</w:t>
      </w:r>
    </w:p>
    <w:p>
      <w:pPr>
        <w:pStyle w:val="14"/>
        <w:spacing w:before="0" w:beforeAutospacing="0" w:after="0" w:afterAutospacing="0" w:line="560" w:lineRule="exact"/>
        <w:rPr>
          <w:rFonts w:ascii="仿宋_GB2312" w:eastAsia="仿宋_GB2312"/>
          <w:sz w:val="32"/>
        </w:rPr>
      </w:pPr>
      <w:r>
        <w:rPr>
          <w:rFonts w:hint="eastAsia" w:ascii="仿宋_GB2312" w:eastAsia="仿宋_GB2312"/>
          <w:color w:val="FF0000"/>
        </w:rPr>
        <w:t xml:space="preserve">    </w:t>
      </w:r>
      <w:r>
        <w:rPr>
          <w:rFonts w:hint="eastAsia" w:ascii="仿宋_GB2312" w:hAnsi="宋体" w:eastAsia="仿宋_GB2312"/>
          <w:sz w:val="32"/>
        </w:rPr>
        <w:t xml:space="preserve"> 202</w:t>
      </w:r>
      <w:r>
        <w:rPr>
          <w:rFonts w:hint="eastAsia" w:ascii="仿宋_GB2312" w:eastAsia="仿宋_GB2312"/>
          <w:sz w:val="32"/>
          <w:lang w:val="en-US" w:eastAsia="zh-CN"/>
        </w:rPr>
        <w:t>0</w:t>
      </w:r>
      <w:r>
        <w:rPr>
          <w:rFonts w:hint="eastAsia" w:ascii="仿宋_GB2312" w:hAnsi="宋体" w:eastAsia="仿宋_GB2312"/>
          <w:sz w:val="32"/>
        </w:rPr>
        <w:t>年本部门开支会议费</w:t>
      </w:r>
      <w:r>
        <w:rPr>
          <w:rFonts w:hint="eastAsia" w:ascii="仿宋_GB2312" w:hAnsi="宋体" w:eastAsia="仿宋_GB2312"/>
          <w:sz w:val="32"/>
          <w:lang w:val="en-US" w:eastAsia="zh-CN"/>
        </w:rPr>
        <w:t>0</w:t>
      </w:r>
      <w:r>
        <w:rPr>
          <w:rFonts w:hint="eastAsia" w:ascii="仿宋_GB2312" w:hAnsi="宋体" w:eastAsia="仿宋_GB2312"/>
          <w:sz w:val="32"/>
        </w:rPr>
        <w:t>万元，举办节庆、晚会、论坛、赛事活动，开支</w:t>
      </w:r>
      <w:r>
        <w:rPr>
          <w:rFonts w:hint="eastAsia" w:ascii="仿宋_GB2312" w:hAnsi="宋体" w:eastAsia="仿宋_GB2312"/>
          <w:sz w:val="32"/>
          <w:lang w:val="en-US" w:eastAsia="zh-CN"/>
        </w:rPr>
        <w:t>0</w:t>
      </w:r>
      <w:r>
        <w:rPr>
          <w:rFonts w:hint="eastAsia" w:ascii="仿宋_GB2312" w:hAnsi="宋体" w:eastAsia="仿宋_GB2312"/>
          <w:sz w:val="32"/>
        </w:rPr>
        <w:t>万元，培训费</w:t>
      </w:r>
      <w:r>
        <w:rPr>
          <w:rFonts w:hint="eastAsia" w:ascii="仿宋_GB2312" w:eastAsia="仿宋_GB2312" w:cs="宋体"/>
          <w:sz w:val="32"/>
          <w:szCs w:val="32"/>
        </w:rPr>
        <w:t>年初预算14万元，决算数7.16万元，</w:t>
      </w:r>
      <w:r>
        <w:rPr>
          <w:rFonts w:hint="eastAsia" w:ascii="仿宋_GB2312" w:eastAsia="仿宋_GB2312"/>
          <w:sz w:val="32"/>
        </w:rPr>
        <w:t>其中：</w:t>
      </w:r>
    </w:p>
    <w:p>
      <w:pPr>
        <w:pStyle w:val="14"/>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1.2019年会计继续教育培训费开支0.01万元。</w:t>
      </w:r>
    </w:p>
    <w:p>
      <w:pPr>
        <w:rPr>
          <w:rFonts w:ascii="仿宋_GB2312" w:eastAsia="仿宋_GB2312"/>
          <w:sz w:val="32"/>
        </w:rPr>
      </w:pPr>
      <w:r>
        <w:rPr>
          <w:rFonts w:hint="eastAsia" w:ascii="仿宋_GB2312" w:eastAsia="仿宋_GB2312"/>
          <w:sz w:val="32"/>
        </w:rPr>
        <w:t xml:space="preserve">    2.检察开放日暨心理健康教育培训活动内容：（1）发放未成年法治宣传手册，了解检察院职能，教育未成年人在受到侵害时，学会运用法律武器维护自身权益；（2）以让青春不烦恼为主题，围绕青春期孩子的生理和心理变化特点展开，让父母更了解孩子心理需求，并教给学生应对情绪问题、释放情绪压力的行之有效的方法，帮助家长建立正确的教育理念，更好地支持孩子应对青春期的烦恼，做到身心健康。此次培训方案预算为1万元，实际开支0.4万元。</w:t>
      </w:r>
    </w:p>
    <w:p>
      <w:pPr>
        <w:rPr>
          <w:rFonts w:ascii="仿宋_GB2312" w:eastAsia="仿宋_GB2312"/>
          <w:sz w:val="32"/>
        </w:rPr>
      </w:pPr>
      <w:r>
        <w:rPr>
          <w:rFonts w:hint="eastAsia" w:ascii="仿宋_GB2312" w:eastAsia="仿宋_GB2312"/>
          <w:sz w:val="32"/>
        </w:rPr>
        <w:t xml:space="preserve">    3.全省检察机关无人机驾驶员执照培训开支0.7万元。</w:t>
      </w:r>
    </w:p>
    <w:p>
      <w:pPr>
        <w:rPr>
          <w:rFonts w:ascii="仿宋_GB2312" w:eastAsia="仿宋_GB2312"/>
          <w:sz w:val="32"/>
        </w:rPr>
      </w:pPr>
      <w:r>
        <w:rPr>
          <w:rFonts w:hint="eastAsia" w:ascii="仿宋_GB2312" w:eastAsia="仿宋_GB2312"/>
          <w:sz w:val="32"/>
        </w:rPr>
        <w:t xml:space="preserve">    4.公益诉讼食品检验检测基础知识培训开支0.17万元。</w:t>
      </w:r>
    </w:p>
    <w:p>
      <w:pPr>
        <w:rPr>
          <w:rFonts w:ascii="仿宋_GB2312" w:eastAsia="仿宋_GB2312"/>
          <w:sz w:val="32"/>
        </w:rPr>
      </w:pPr>
      <w:r>
        <w:rPr>
          <w:rFonts w:hint="eastAsia" w:ascii="仿宋_GB2312" w:eastAsia="仿宋_GB2312"/>
          <w:sz w:val="32"/>
        </w:rPr>
        <w:t xml:space="preserve">    5.司法警察培训支出1.55万元。</w:t>
      </w:r>
    </w:p>
    <w:p>
      <w:pPr>
        <w:rPr>
          <w:rFonts w:ascii="仿宋_GB2312" w:eastAsia="仿宋_GB2312"/>
          <w:sz w:val="32"/>
        </w:rPr>
      </w:pPr>
      <w:r>
        <w:rPr>
          <w:rFonts w:hint="eastAsia" w:ascii="仿宋_GB2312" w:eastAsia="仿宋_GB2312"/>
          <w:sz w:val="32"/>
        </w:rPr>
        <w:t xml:space="preserve">    6.国家检察官学院第2期认罪认罚从宽制度理解与适用培训开支0.54万元。</w:t>
      </w:r>
    </w:p>
    <w:p>
      <w:pPr>
        <w:rPr>
          <w:rFonts w:ascii="仿宋_GB2312" w:eastAsia="仿宋_GB2312"/>
          <w:sz w:val="32"/>
        </w:rPr>
      </w:pPr>
      <w:r>
        <w:rPr>
          <w:rFonts w:hint="eastAsia" w:ascii="仿宋_GB2312" w:eastAsia="仿宋_GB2312"/>
          <w:sz w:val="32"/>
        </w:rPr>
        <w:t xml:space="preserve">    7.全市融媒体新闻宣传骨干培训开支0.1万元。</w:t>
      </w:r>
    </w:p>
    <w:p>
      <w:pPr>
        <w:rPr>
          <w:rFonts w:ascii="仿宋_GB2312" w:eastAsia="仿宋_GB2312"/>
          <w:sz w:val="32"/>
        </w:rPr>
      </w:pPr>
      <w:r>
        <w:rPr>
          <w:rFonts w:hint="eastAsia" w:ascii="仿宋_GB2312" w:eastAsia="仿宋_GB2312"/>
          <w:sz w:val="32"/>
        </w:rPr>
        <w:t xml:space="preserve">    8.全省行政检察业务评比培训开支0.18元。</w:t>
      </w:r>
    </w:p>
    <w:p>
      <w:pPr>
        <w:rPr>
          <w:rFonts w:ascii="仿宋_GB2312" w:eastAsia="仿宋_GB2312"/>
          <w:sz w:val="32"/>
        </w:rPr>
      </w:pPr>
      <w:r>
        <w:rPr>
          <w:rFonts w:hint="eastAsia" w:ascii="仿宋_GB2312" w:eastAsia="仿宋_GB2312"/>
          <w:sz w:val="32"/>
        </w:rPr>
        <w:t xml:space="preserve">    9.全省检察机关侦查业务培训开支0.19万元。</w:t>
      </w:r>
    </w:p>
    <w:p>
      <w:pPr>
        <w:rPr>
          <w:rFonts w:ascii="仿宋_GB2312" w:eastAsia="仿宋_GB2312"/>
          <w:sz w:val="32"/>
        </w:rPr>
      </w:pPr>
      <w:r>
        <w:rPr>
          <w:rFonts w:hint="eastAsia" w:ascii="仿宋_GB2312" w:eastAsia="仿宋_GB2312"/>
          <w:sz w:val="32"/>
        </w:rPr>
        <w:t xml:space="preserve">    10.执法监督培训开支0.4万元。</w:t>
      </w:r>
    </w:p>
    <w:p>
      <w:pPr>
        <w:rPr>
          <w:rFonts w:ascii="仿宋_GB2312" w:eastAsia="仿宋_GB2312"/>
          <w:sz w:val="32"/>
        </w:rPr>
      </w:pPr>
      <w:r>
        <w:rPr>
          <w:rFonts w:hint="eastAsia" w:ascii="仿宋_GB2312" w:eastAsia="仿宋_GB2312"/>
          <w:sz w:val="32"/>
        </w:rPr>
        <w:t xml:space="preserve">    11.全省检察机关职务犯罪检察业务培训开支0.21万元。</w:t>
      </w:r>
    </w:p>
    <w:p>
      <w:pPr>
        <w:rPr>
          <w:rFonts w:ascii="仿宋_GB2312" w:eastAsia="仿宋_GB2312"/>
          <w:sz w:val="32"/>
        </w:rPr>
      </w:pPr>
      <w:r>
        <w:rPr>
          <w:rFonts w:hint="eastAsia" w:ascii="仿宋_GB2312" w:eastAsia="仿宋_GB2312"/>
          <w:sz w:val="32"/>
        </w:rPr>
        <w:t xml:space="preserve">    12. 全省公益诉讼检察业务培训开支0.58万元。</w:t>
      </w:r>
    </w:p>
    <w:p>
      <w:pPr>
        <w:rPr>
          <w:rFonts w:ascii="仿宋_GB2312" w:eastAsia="仿宋_GB2312"/>
          <w:sz w:val="32"/>
        </w:rPr>
      </w:pPr>
      <w:r>
        <w:rPr>
          <w:rFonts w:hint="eastAsia" w:ascii="仿宋_GB2312" w:eastAsia="仿宋_GB2312"/>
          <w:sz w:val="32"/>
        </w:rPr>
        <w:t xml:space="preserve">    13.全省检察机关刑事执行检察业务培训开支0.15万元。</w:t>
      </w:r>
    </w:p>
    <w:p>
      <w:pPr>
        <w:rPr>
          <w:rFonts w:ascii="仿宋_GB2312" w:eastAsia="仿宋_GB2312"/>
          <w:sz w:val="32"/>
        </w:rPr>
      </w:pPr>
      <w:r>
        <w:rPr>
          <w:rFonts w:hint="eastAsia" w:ascii="仿宋_GB2312" w:eastAsia="仿宋_GB2312"/>
          <w:sz w:val="32"/>
        </w:rPr>
        <w:t xml:space="preserve">    14.执法监督、涉法涉诉信访、暨扫黑除恶长效常治工作专题培训开支0.69万元。</w:t>
      </w:r>
    </w:p>
    <w:p>
      <w:pPr>
        <w:rPr>
          <w:rFonts w:ascii="仿宋_GB2312" w:eastAsia="仿宋_GB2312"/>
          <w:sz w:val="32"/>
        </w:rPr>
      </w:pPr>
      <w:r>
        <w:rPr>
          <w:rFonts w:hint="eastAsia" w:ascii="仿宋_GB2312" w:eastAsia="仿宋_GB2312"/>
          <w:sz w:val="32"/>
        </w:rPr>
        <w:t xml:space="preserve">    15.我院组织全体干部职工分两批次进行安全培训，培训内容纲要：（1）消防安全基本常识；（2）了解火灾事故的危险与伤害；（3）灭火器分类及对应火灾场景实操；（4）消火栓灭火演练实操，水带抛接实操；（5）实景隐患排查训练；（6）电器电路火灾实验，使用电器的不良行为习惯分析；（7）安全标识认知；（8）车辆发生自燃现象如何自救；（9）公共交通工具火灾预防对策；（10）绳索结绳，高空缓降训练；（11）消防逃生屋模拟逃生训练；（12）心肺复苏术等急救知识培训。此次培训方案预算不超过1.5万元，实际开支1.29万元。</w:t>
      </w:r>
    </w:p>
    <w:p>
      <w:pPr>
        <w:pStyle w:val="14"/>
        <w:spacing w:before="0" w:beforeAutospacing="0" w:after="0" w:afterAutospacing="0" w:line="560" w:lineRule="exact"/>
        <w:ind w:firstLine="640" w:firstLineChars="200"/>
        <w:rPr>
          <w:rStyle w:val="17"/>
          <w:rFonts w:ascii="楷体_GB2312" w:hAnsi="楷体" w:eastAsia="楷体_GB2312" w:cs="楷体"/>
          <w:b w:val="0"/>
          <w:color w:val="FF0000"/>
          <w:shd w:val="clear" w:color="auto" w:fill="FFFFFF"/>
        </w:rPr>
      </w:pPr>
      <w:r>
        <w:rPr>
          <w:rStyle w:val="17"/>
          <w:rFonts w:hint="eastAsia" w:ascii="楷体_GB2312" w:hAnsi="楷体" w:eastAsia="楷体_GB2312" w:cs="楷体"/>
          <w:b w:val="0"/>
          <w:sz w:val="32"/>
          <w:szCs w:val="32"/>
          <w:shd w:val="clear" w:color="auto" w:fill="FFFFFF"/>
        </w:rPr>
        <w:t>十一、关于政府采购支出说明</w:t>
      </w:r>
    </w:p>
    <w:p>
      <w:pPr>
        <w:pStyle w:val="14"/>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本部门2020年度政府采购支出总额218.39万元</w:t>
      </w:r>
      <w:r>
        <w:rPr>
          <w:rFonts w:hint="eastAsia" w:asciiTheme="minorEastAsia" w:hAnsiTheme="minorEastAsia" w:eastAsiaTheme="minorEastAsia"/>
          <w:sz w:val="32"/>
          <w:szCs w:val="32"/>
        </w:rPr>
        <w:t>，</w:t>
      </w:r>
      <w:r>
        <w:rPr>
          <w:rFonts w:hint="eastAsia" w:ascii="仿宋_GB2312" w:eastAsia="仿宋_GB2312"/>
          <w:sz w:val="32"/>
        </w:rPr>
        <w:t>其中：政府采购货物支出218.39万元、政府采购工程支出0万元、政府采购服务支出0万元。授予中小企业合同金额</w:t>
      </w:r>
      <w:r>
        <w:rPr>
          <w:rFonts w:hint="eastAsia" w:ascii="仿宋_GB2312" w:eastAsia="仿宋_GB2312"/>
          <w:sz w:val="32"/>
          <w:lang w:val="en-US" w:eastAsia="zh-CN"/>
        </w:rPr>
        <w:t>164.75</w:t>
      </w:r>
      <w:r>
        <w:rPr>
          <w:rFonts w:hint="eastAsia" w:ascii="仿宋_GB2312" w:eastAsia="仿宋_GB2312"/>
          <w:sz w:val="32"/>
        </w:rPr>
        <w:t>万元，占政府采购支出总额的</w:t>
      </w:r>
      <w:r>
        <w:rPr>
          <w:rFonts w:hint="eastAsia" w:ascii="仿宋_GB2312" w:eastAsia="仿宋_GB2312"/>
          <w:sz w:val="32"/>
          <w:lang w:val="en-US" w:eastAsia="zh-CN"/>
        </w:rPr>
        <w:t>75.44</w:t>
      </w:r>
      <w:r>
        <w:rPr>
          <w:rFonts w:hint="eastAsia" w:ascii="仿宋_GB2312" w:eastAsia="仿宋_GB2312"/>
          <w:sz w:val="32"/>
        </w:rPr>
        <w:t>%，其中：授予小微企业合同金额</w:t>
      </w:r>
      <w:r>
        <w:rPr>
          <w:rFonts w:hint="eastAsia" w:ascii="仿宋_GB2312" w:eastAsia="仿宋_GB2312"/>
          <w:sz w:val="32"/>
          <w:lang w:val="en-US" w:eastAsia="zh-CN"/>
        </w:rPr>
        <w:t>164</w:t>
      </w:r>
      <w:r>
        <w:rPr>
          <w:rFonts w:hint="eastAsia" w:ascii="仿宋_GB2312" w:eastAsia="仿宋_GB2312"/>
          <w:sz w:val="32"/>
        </w:rPr>
        <w:t>万元，占政府采购支出总额的</w:t>
      </w:r>
      <w:r>
        <w:rPr>
          <w:rFonts w:hint="eastAsia" w:ascii="仿宋_GB2312" w:eastAsia="仿宋_GB2312"/>
          <w:sz w:val="32"/>
          <w:lang w:val="en-US" w:eastAsia="zh-CN"/>
        </w:rPr>
        <w:t>75.1</w:t>
      </w:r>
      <w:r>
        <w:rPr>
          <w:rFonts w:hint="eastAsia" w:ascii="仿宋_GB2312" w:eastAsia="仿宋_GB2312"/>
          <w:sz w:val="32"/>
        </w:rPr>
        <w:t>%。</w:t>
      </w:r>
    </w:p>
    <w:p>
      <w:pPr>
        <w:pStyle w:val="14"/>
        <w:spacing w:before="0" w:beforeAutospacing="0" w:after="0" w:afterAutospacing="0" w:line="560" w:lineRule="exact"/>
        <w:ind w:firstLine="640" w:firstLineChars="200"/>
        <w:rPr>
          <w:rStyle w:val="17"/>
          <w:rFonts w:ascii="楷体_GB2312" w:hAnsi="楷体" w:eastAsia="楷体_GB2312" w:cs="楷体"/>
          <w:b w:val="0"/>
          <w:sz w:val="32"/>
          <w:szCs w:val="32"/>
          <w:shd w:val="clear" w:color="auto" w:fill="FFFFFF"/>
        </w:rPr>
      </w:pPr>
      <w:r>
        <w:rPr>
          <w:rStyle w:val="17"/>
          <w:rFonts w:hint="eastAsia" w:ascii="楷体_GB2312" w:hAnsi="楷体" w:eastAsia="楷体_GB2312" w:cs="楷体"/>
          <w:b w:val="0"/>
          <w:sz w:val="32"/>
          <w:szCs w:val="32"/>
          <w:shd w:val="clear" w:color="auto" w:fill="FFFFFF"/>
        </w:rPr>
        <w:t>十二、关于国有资产占用情况说明</w:t>
      </w:r>
    </w:p>
    <w:p>
      <w:pPr>
        <w:pStyle w:val="14"/>
        <w:spacing w:before="0" w:beforeAutospacing="0" w:after="0" w:afterAutospacing="0" w:line="560" w:lineRule="exact"/>
        <w:ind w:firstLine="640" w:firstLineChars="200"/>
        <w:rPr>
          <w:rFonts w:eastAsia="仿宋_GB2312"/>
          <w:sz w:val="32"/>
        </w:rPr>
      </w:pPr>
      <w:r>
        <w:rPr>
          <w:rFonts w:eastAsia="仿宋_GB2312"/>
          <w:sz w:val="32"/>
        </w:rPr>
        <w:t>截至20</w:t>
      </w:r>
      <w:r>
        <w:rPr>
          <w:rFonts w:hint="eastAsia" w:eastAsia="仿宋_GB2312"/>
          <w:sz w:val="32"/>
        </w:rPr>
        <w:t>20</w:t>
      </w:r>
      <w:r>
        <w:rPr>
          <w:rFonts w:eastAsia="仿宋_GB2312"/>
          <w:sz w:val="32"/>
        </w:rPr>
        <w:t>年12月31日，</w:t>
      </w:r>
      <w:r>
        <w:rPr>
          <w:rFonts w:hint="eastAsia" w:eastAsia="仿宋_GB2312"/>
          <w:sz w:val="32"/>
        </w:rPr>
        <w:t>我院</w:t>
      </w:r>
      <w:r>
        <w:rPr>
          <w:rFonts w:eastAsia="仿宋_GB2312"/>
          <w:sz w:val="32"/>
        </w:rPr>
        <w:t>共有车辆</w:t>
      </w:r>
      <w:r>
        <w:rPr>
          <w:rFonts w:hint="eastAsia" w:eastAsia="仿宋_GB2312"/>
          <w:sz w:val="32"/>
        </w:rPr>
        <w:t>6</w:t>
      </w:r>
      <w:r>
        <w:rPr>
          <w:rFonts w:eastAsia="仿宋_GB2312"/>
          <w:sz w:val="32"/>
        </w:rPr>
        <w:t>，</w:t>
      </w:r>
      <w:r>
        <w:rPr>
          <w:rFonts w:hint="eastAsia" w:eastAsia="仿宋_GB2312"/>
          <w:sz w:val="32"/>
        </w:rPr>
        <w:t>全为执法执勤用车；</w:t>
      </w:r>
      <w:r>
        <w:rPr>
          <w:rFonts w:eastAsia="仿宋_GB2312"/>
          <w:sz w:val="32"/>
        </w:rPr>
        <w:t>单位价值50万元以上通用设备</w:t>
      </w:r>
      <w:r>
        <w:rPr>
          <w:rFonts w:hint="eastAsia" w:eastAsia="仿宋_GB2312"/>
          <w:sz w:val="32"/>
        </w:rPr>
        <w:t>0</w:t>
      </w:r>
      <w:r>
        <w:rPr>
          <w:rFonts w:eastAsia="仿宋_GB2312"/>
          <w:sz w:val="32"/>
        </w:rPr>
        <w:t>（套）；单位价值100万元以上专用设备</w:t>
      </w:r>
      <w:r>
        <w:rPr>
          <w:rFonts w:hint="eastAsia" w:eastAsia="仿宋_GB2312"/>
          <w:sz w:val="32"/>
        </w:rPr>
        <w:t>0</w:t>
      </w:r>
      <w:r>
        <w:rPr>
          <w:rFonts w:eastAsia="仿宋_GB2312"/>
          <w:sz w:val="32"/>
        </w:rPr>
        <w:t>（套）。</w:t>
      </w:r>
    </w:p>
    <w:bookmarkEnd w:id="31"/>
    <w:bookmarkEnd w:id="32"/>
    <w:p>
      <w:pPr>
        <w:pStyle w:val="14"/>
        <w:spacing w:before="0" w:beforeAutospacing="0" w:after="0" w:afterAutospacing="0" w:line="560" w:lineRule="exact"/>
        <w:ind w:firstLine="640" w:firstLineChars="200"/>
        <w:outlineLvl w:val="1"/>
        <w:rPr>
          <w:rStyle w:val="17"/>
          <w:rFonts w:ascii="楷体_GB2312" w:hAnsi="楷体" w:eastAsia="楷体_GB2312" w:cs="楷体"/>
          <w:b w:val="0"/>
          <w:sz w:val="32"/>
          <w:szCs w:val="32"/>
          <w:shd w:val="clear" w:color="auto" w:fill="FFFFFF"/>
        </w:rPr>
      </w:pPr>
      <w:r>
        <w:rPr>
          <w:rStyle w:val="17"/>
          <w:rFonts w:hint="eastAsia" w:ascii="楷体_GB2312" w:hAnsi="楷体" w:eastAsia="楷体_GB2312" w:cs="楷体"/>
          <w:b w:val="0"/>
          <w:sz w:val="32"/>
          <w:szCs w:val="32"/>
          <w:shd w:val="clear" w:color="auto" w:fill="FFFFFF"/>
        </w:rPr>
        <w:t>十三、关于2020年度预算绩效情况说明</w:t>
      </w:r>
    </w:p>
    <w:p>
      <w:pPr>
        <w:pStyle w:val="3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娄底市娄星区人民检察院坚持以习近平新时代中国特色社会主义思想为指导，深入学习贯彻党的十九大和十九届二中、三中、四中、五中全会精神和习近平法治思想，依法履行宪法赋予的监督职责，紧紧围绕全区工作大局，全力服务“六稳”“六保”。先后荣获全国模范职工之家、全国检察宣传先进单位、全省文明单位、全省检察机关扫黑除恶先进集体、全省检察机关信息工作及非税收入执收工作表现突出单位等荣誉，我院在全市五个基层院综合考评排名第一。</w:t>
      </w:r>
    </w:p>
    <w:p>
      <w:pPr>
        <w:pStyle w:val="31"/>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我院2020年受理审查逮捕案件362件490人，受理审查起诉案件586件728人，立案办理公益诉讼案件199件，受理民事、行政监督案件28件，批捕涉黑涉恶犯罪13人，提起公诉42人，改变公安机关定性，依法认定不涉恶18人，纠正漏罪漏犯16人次。</w:t>
      </w:r>
    </w:p>
    <w:p>
      <w:pPr>
        <w:pStyle w:val="14"/>
        <w:spacing w:before="0" w:beforeAutospacing="0" w:after="0" w:afterAutospacing="0" w:line="560" w:lineRule="exact"/>
        <w:ind w:firstLine="640" w:firstLineChars="200"/>
        <w:outlineLvl w:val="1"/>
        <w:rPr>
          <w:rStyle w:val="17"/>
          <w:rFonts w:ascii="楷体_GB2312" w:hAnsi="楷体" w:eastAsia="楷体_GB2312" w:cs="楷体"/>
          <w:b w:val="0"/>
          <w:sz w:val="32"/>
          <w:szCs w:val="32"/>
          <w:shd w:val="clear" w:color="auto" w:fill="FFFFFF"/>
        </w:rPr>
      </w:pPr>
    </w:p>
    <w:p>
      <w:pPr>
        <w:pStyle w:val="14"/>
        <w:spacing w:before="0" w:beforeAutospacing="0" w:after="0" w:afterAutospacing="0" w:line="560" w:lineRule="exact"/>
        <w:ind w:firstLine="640" w:firstLineChars="200"/>
        <w:rPr>
          <w:rFonts w:eastAsia="仿宋_GB2312"/>
          <w:sz w:val="32"/>
        </w:rPr>
      </w:pPr>
    </w:p>
    <w:p>
      <w:pPr>
        <w:rPr>
          <w:rStyle w:val="17"/>
          <w:rFonts w:ascii="黑体" w:hAnsi="黑体" w:eastAsia="黑体" w:cs="黑体"/>
          <w:sz w:val="44"/>
          <w:szCs w:val="44"/>
          <w:shd w:val="clear" w:color="auto" w:fill="FFFFFF"/>
        </w:rPr>
      </w:pPr>
      <w:bookmarkStart w:id="33" w:name="_Toc16970"/>
      <w:r>
        <w:rPr>
          <w:rStyle w:val="17"/>
          <w:rFonts w:ascii="黑体" w:hAnsi="黑体" w:eastAsia="黑体" w:cs="黑体"/>
          <w:sz w:val="44"/>
          <w:szCs w:val="44"/>
          <w:shd w:val="clear" w:color="auto" w:fill="FFFFFF"/>
        </w:rPr>
        <w:br w:type="page"/>
      </w:r>
    </w:p>
    <w:p>
      <w:pPr>
        <w:pStyle w:val="14"/>
        <w:spacing w:before="0" w:beforeAutospacing="0" w:after="0" w:afterAutospacing="0" w:line="560" w:lineRule="exact"/>
        <w:ind w:firstLine="883" w:firstLineChars="200"/>
        <w:jc w:val="center"/>
        <w:outlineLvl w:val="0"/>
        <w:rPr>
          <w:rStyle w:val="17"/>
          <w:rFonts w:ascii="方正小标宋_GBK" w:hAnsi="黑体" w:eastAsia="方正小标宋_GBK" w:cs="黑体"/>
          <w:sz w:val="44"/>
          <w:szCs w:val="44"/>
          <w:shd w:val="clear" w:color="auto" w:fill="FFFFFF"/>
        </w:rPr>
      </w:pPr>
      <w:r>
        <w:rPr>
          <w:rStyle w:val="17"/>
          <w:rFonts w:hint="eastAsia" w:ascii="方正小标宋_GBK" w:hAnsi="黑体" w:eastAsia="方正小标宋_GBK" w:cs="黑体"/>
          <w:sz w:val="44"/>
          <w:szCs w:val="44"/>
          <w:shd w:val="clear" w:color="auto" w:fill="FFFFFF"/>
        </w:rPr>
        <w:t>第四部分 名词解释</w:t>
      </w:r>
      <w:bookmarkEnd w:id="33"/>
    </w:p>
    <w:p>
      <w:pPr>
        <w:pStyle w:val="14"/>
        <w:spacing w:before="0" w:beforeAutospacing="0" w:after="0" w:afterAutospacing="0" w:line="560" w:lineRule="exact"/>
        <w:ind w:firstLine="643" w:firstLineChars="200"/>
        <w:rPr>
          <w:rStyle w:val="17"/>
          <w:rFonts w:cs="宋体"/>
          <w:sz w:val="32"/>
          <w:szCs w:val="32"/>
          <w:shd w:val="clear" w:color="auto" w:fill="FFFFFF"/>
        </w:rPr>
      </w:pP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一、财政拨款收入</w:t>
      </w:r>
      <w:r>
        <w:rPr>
          <w:rStyle w:val="17"/>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二、其他收入</w:t>
      </w:r>
      <w:r>
        <w:rPr>
          <w:rStyle w:val="1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三、上年结转和结余</w:t>
      </w:r>
      <w:r>
        <w:rPr>
          <w:rStyle w:val="1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四、年末结转和结余</w:t>
      </w:r>
      <w:r>
        <w:rPr>
          <w:rStyle w:val="1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五、公共安全支出（类）检察（款）</w:t>
      </w:r>
      <w:r>
        <w:rPr>
          <w:rStyle w:val="1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六、教育支出（类）进修及培训（款）培训支出（项）：</w:t>
      </w:r>
      <w:r>
        <w:rPr>
          <w:rFonts w:ascii="仿宋_GB2312" w:hAnsi="Times New Roman" w:eastAsia="仿宋_GB2312" w:cs="仿宋_GB2312"/>
          <w:color w:val="353535"/>
          <w:sz w:val="32"/>
          <w:szCs w:val="32"/>
        </w:rPr>
        <w:t>指单位用于干警教育培训的支出。</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七、社会保障和就业支出（类）行政事业单位离退休（款）未归口管理的行政单位离退休（项）：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八、住房保障支出（类）住房改革支出（款）：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（一）住房公积金（项）</w:t>
      </w:r>
      <w:r>
        <w:rPr>
          <w:rStyle w:val="17"/>
          <w:rFonts w:ascii="楷体_GB2312" w:hAnsi="楷体" w:eastAsia="楷体_GB2312" w:cs="楷体"/>
          <w:b w:val="0"/>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17"/>
          <w:rFonts w:ascii="楷体_GB2312" w:hAnsi="楷体" w:eastAsia="楷体_GB2312" w:cs="楷体"/>
          <w:b w:val="0"/>
          <w:sz w:val="32"/>
          <w:szCs w:val="32"/>
          <w:shd w:val="clear" w:color="auto" w:fill="FFFFFF"/>
        </w:rPr>
        <w:t>（二）</w:t>
      </w:r>
      <w:r>
        <w:rPr>
          <w:rStyle w:val="17"/>
          <w:rFonts w:hint="eastAsia" w:ascii="楷体_GB2312" w:hAnsi="楷体" w:eastAsia="楷体_GB2312" w:cs="楷体"/>
          <w:b w:val="0"/>
          <w:sz w:val="32"/>
          <w:szCs w:val="32"/>
          <w:shd w:val="clear" w:color="auto" w:fill="FFFFFF"/>
        </w:rPr>
        <w:t>购房补贴（项）：</w:t>
      </w:r>
      <w:r>
        <w:rPr>
          <w:rFonts w:ascii="仿宋_GB2312" w:hAnsi="Times New Roman" w:eastAsia="仿宋_GB2312" w:cs="仿宋_GB2312"/>
          <w:color w:val="353535"/>
          <w:sz w:val="32"/>
          <w:szCs w:val="32"/>
        </w:rPr>
        <w:t>指</w:t>
      </w:r>
      <w:r>
        <w:rPr>
          <w:rFonts w:ascii="Times New Roman" w:hAnsi="Times New Roman"/>
          <w:color w:val="353535"/>
          <w:sz w:val="32"/>
          <w:szCs w:val="32"/>
        </w:rPr>
        <w:t>1998</w:t>
      </w:r>
      <w:r>
        <w:rPr>
          <w:rFonts w:ascii="仿宋_GB2312" w:hAnsi="Times New Roman" w:eastAsia="仿宋_GB2312" w:cs="仿宋_GB2312"/>
          <w:color w:val="353535"/>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九、基本支出</w:t>
      </w:r>
      <w:r>
        <w:rPr>
          <w:rStyle w:val="17"/>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十、项目支出：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17"/>
          <w:rFonts w:hint="eastAsia" w:ascii="楷体_GB2312" w:hAnsi="楷体" w:eastAsia="楷体_GB2312" w:cs="楷体"/>
          <w:b w:val="0"/>
          <w:sz w:val="32"/>
          <w:szCs w:val="32"/>
          <w:shd w:val="clear" w:color="auto" w:fill="FFFFFF"/>
        </w:rPr>
        <w:t>十一、“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17"/>
          <w:rFonts w:hint="eastAsia" w:ascii="楷体_GB2312" w:hAnsi="楷体" w:eastAsia="楷体_GB2312" w:cs="楷体"/>
          <w:b w:val="0"/>
          <w:sz w:val="32"/>
          <w:szCs w:val="32"/>
          <w:shd w:val="clear" w:color="auto" w:fill="FFFFFF"/>
        </w:rPr>
        <w:t>十二、机关运行经费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adjustRightInd w:val="0"/>
        <w:snapToGrid w:val="0"/>
        <w:spacing w:line="560" w:lineRule="exact"/>
        <w:ind w:firstLine="640" w:firstLineChars="200"/>
        <w:rPr>
          <w:rFonts w:ascii="仿宋_GB2312" w:hAnsi="Times New Roman" w:eastAsia="仿宋_GB2312" w:cs="仿宋_GB2312"/>
          <w:color w:val="353535"/>
          <w:sz w:val="32"/>
          <w:szCs w:val="32"/>
        </w:rPr>
      </w:pPr>
    </w:p>
    <w:p>
      <w:pPr>
        <w:rPr>
          <w:rStyle w:val="17"/>
          <w:rFonts w:ascii="黑体" w:hAnsi="黑体" w:eastAsia="黑体" w:cs="黑体"/>
          <w:sz w:val="32"/>
          <w:szCs w:val="32"/>
          <w:shd w:val="clear" w:color="auto" w:fill="FFFFFF"/>
        </w:rPr>
      </w:pPr>
      <w:bookmarkStart w:id="34" w:name="_Toc5800"/>
      <w:r>
        <w:rPr>
          <w:rStyle w:val="17"/>
          <w:rFonts w:ascii="黑体" w:hAnsi="黑体" w:eastAsia="黑体" w:cs="黑体"/>
          <w:sz w:val="32"/>
          <w:szCs w:val="32"/>
          <w:shd w:val="clear" w:color="auto" w:fill="FFFFFF"/>
        </w:rPr>
        <w:br w:type="page"/>
      </w:r>
    </w:p>
    <w:p>
      <w:pPr>
        <w:pStyle w:val="14"/>
        <w:spacing w:before="0" w:beforeAutospacing="0" w:after="0" w:afterAutospacing="0" w:line="560" w:lineRule="exact"/>
        <w:ind w:firstLine="883" w:firstLineChars="200"/>
        <w:jc w:val="center"/>
        <w:outlineLvl w:val="0"/>
        <w:rPr>
          <w:rStyle w:val="17"/>
          <w:rFonts w:hint="eastAsia" w:ascii="方正小标宋_GBK" w:hAnsi="黑体" w:eastAsia="方正小标宋_GBK" w:cs="黑体"/>
          <w:sz w:val="44"/>
          <w:szCs w:val="44"/>
          <w:shd w:val="clear" w:color="auto" w:fill="FFFFFF"/>
        </w:rPr>
      </w:pPr>
      <w:r>
        <w:rPr>
          <w:rStyle w:val="17"/>
          <w:rFonts w:hint="eastAsia" w:ascii="方正小标宋_GBK" w:hAnsi="黑体" w:eastAsia="方正小标宋_GBK" w:cs="黑体"/>
          <w:sz w:val="44"/>
          <w:szCs w:val="44"/>
          <w:shd w:val="clear" w:color="auto" w:fill="FFFFFF"/>
        </w:rPr>
        <w:t>第五部</w:t>
      </w:r>
      <w:r>
        <w:rPr>
          <w:rStyle w:val="17"/>
          <w:rFonts w:hint="eastAsia" w:ascii="方正小标宋_GBK" w:hAnsi="黑体" w:eastAsia="方正小标宋_GBK" w:cs="黑体"/>
          <w:sz w:val="44"/>
          <w:szCs w:val="44"/>
          <w:shd w:val="clear" w:color="auto" w:fill="FFFFFF"/>
          <w:lang w:eastAsia="zh-CN"/>
        </w:rPr>
        <w:t>分</w:t>
      </w:r>
      <w:r>
        <w:rPr>
          <w:rStyle w:val="17"/>
          <w:rFonts w:hint="eastAsia" w:ascii="方正小标宋_GBK" w:hAnsi="黑体" w:eastAsia="方正小标宋_GBK" w:cs="黑体"/>
          <w:sz w:val="44"/>
          <w:szCs w:val="44"/>
          <w:shd w:val="clear" w:color="auto" w:fill="FFFFFF"/>
        </w:rPr>
        <w:t>附件</w:t>
      </w:r>
    </w:p>
    <w:p>
      <w:pPr>
        <w:pStyle w:val="14"/>
        <w:spacing w:before="0" w:beforeAutospacing="0" w:after="0" w:afterAutospacing="0" w:line="560" w:lineRule="exact"/>
        <w:ind w:firstLine="883" w:firstLineChars="200"/>
        <w:jc w:val="center"/>
        <w:outlineLvl w:val="0"/>
        <w:rPr>
          <w:rStyle w:val="17"/>
          <w:rFonts w:hint="eastAsia" w:ascii="方正小标宋_GBK" w:hAnsi="黑体" w:eastAsia="方正小标宋_GBK" w:cs="黑体"/>
          <w:sz w:val="44"/>
          <w:szCs w:val="44"/>
          <w:shd w:val="clear" w:color="auto" w:fill="FFFFFF"/>
        </w:rPr>
      </w:pPr>
    </w:p>
    <w:p>
      <w:pPr>
        <w:adjustRightInd w:val="0"/>
        <w:snapToGrid w:val="0"/>
        <w:spacing w:line="560" w:lineRule="exact"/>
        <w:rPr>
          <w:rStyle w:val="17"/>
          <w:rFonts w:hint="eastAsia" w:ascii="楷体_GB2312" w:hAnsi="楷体" w:eastAsia="楷体_GB2312" w:cs="楷体"/>
          <w:b w:val="0"/>
          <w:sz w:val="32"/>
          <w:szCs w:val="32"/>
          <w:shd w:val="clear" w:color="auto" w:fill="FFFFFF"/>
        </w:rPr>
      </w:pPr>
      <w:r>
        <w:rPr>
          <w:rStyle w:val="17"/>
          <w:rFonts w:hint="eastAsia" w:ascii="楷体_GB2312" w:hAnsi="楷体" w:eastAsia="楷体_GB2312" w:cs="楷体"/>
          <w:b w:val="0"/>
          <w:sz w:val="32"/>
          <w:szCs w:val="32"/>
          <w:shd w:val="clear" w:color="auto" w:fill="FFFFFF"/>
        </w:rPr>
        <w:t>202</w:t>
      </w:r>
      <w:r>
        <w:rPr>
          <w:rStyle w:val="17"/>
          <w:rFonts w:hint="eastAsia" w:ascii="楷体_GB2312" w:hAnsi="楷体" w:eastAsia="楷体_GB2312" w:cs="楷体"/>
          <w:b w:val="0"/>
          <w:sz w:val="32"/>
          <w:szCs w:val="32"/>
          <w:shd w:val="clear" w:color="auto" w:fill="FFFFFF"/>
          <w:lang w:val="en-US" w:eastAsia="zh-CN"/>
        </w:rPr>
        <w:t>0</w:t>
      </w:r>
      <w:r>
        <w:rPr>
          <w:rStyle w:val="17"/>
          <w:rFonts w:hint="eastAsia" w:ascii="楷体_GB2312" w:hAnsi="楷体" w:eastAsia="楷体_GB2312" w:cs="楷体"/>
          <w:b w:val="0"/>
          <w:sz w:val="32"/>
          <w:szCs w:val="32"/>
          <w:shd w:val="clear" w:color="auto" w:fill="FFFFFF"/>
        </w:rPr>
        <w:t>年度部门整体支出绩效评价报告</w:t>
      </w:r>
    </w:p>
    <w:p>
      <w:pPr>
        <w:rPr>
          <w:rFonts w:ascii="仿宋_GB2312" w:hAnsi="Times New Roman" w:eastAsia="仿宋_GB2312" w:cs="仿宋_GB2312"/>
          <w:color w:val="353535"/>
          <w:sz w:val="32"/>
          <w:szCs w:val="32"/>
        </w:rPr>
      </w:pPr>
      <w:bookmarkStart w:id="35" w:name="_GoBack"/>
      <w:r>
        <w:rPr>
          <w:rFonts w:hint="eastAsia" w:ascii="仿宋_GB2312" w:hAnsi="Times New Roman" w:eastAsia="仿宋_GB2312" w:cs="仿宋_GB2312"/>
          <w:color w:val="353535"/>
          <w:sz w:val="32"/>
          <w:szCs w:val="32"/>
        </w:rPr>
        <w:t>https://www.hn.jcy.gov.cn/xwfb/czxx/qtczxxgk/202106/1464909166928723968.html</w:t>
      </w:r>
      <w:bookmarkEnd w:id="34"/>
    </w:p>
    <w:bookmarkEnd w:id="35"/>
    <w:p>
      <w:pPr>
        <w:pStyle w:val="14"/>
        <w:adjustRightInd w:val="0"/>
        <w:snapToGrid w:val="0"/>
        <w:spacing w:before="0" w:beforeAutospacing="0" w:after="0" w:afterAutospacing="0" w:line="560" w:lineRule="exact"/>
        <w:ind w:firstLine="640" w:firstLineChars="200"/>
        <w:jc w:val="both"/>
        <w:outlineLvl w:val="1"/>
        <w:rPr>
          <w:rStyle w:val="17"/>
          <w:rFonts w:ascii="楷体_GB2312" w:eastAsia="楷体_GB2312" w:cs="宋体"/>
          <w:b w:val="0"/>
          <w:sz w:val="32"/>
          <w:szCs w:val="32"/>
          <w:shd w:val="clear" w:color="auto" w:fill="FFFFFF"/>
        </w:rPr>
      </w:pPr>
    </w:p>
    <w:sectPr>
      <w:pgSz w:w="11915" w:h="16851"/>
      <w:pgMar w:top="1731"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313C0"/>
    <w:multiLevelType w:val="multilevel"/>
    <w:tmpl w:val="20C313C0"/>
    <w:lvl w:ilvl="0" w:tentative="0">
      <w:start w:val="1"/>
      <w:numFmt w:val="japaneseCounting"/>
      <w:lvlText w:val="%1、"/>
      <w:lvlJc w:val="left"/>
      <w:pPr>
        <w:ind w:left="630" w:hanging="63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8BB5A1"/>
    <w:multiLevelType w:val="singleLevel"/>
    <w:tmpl w:val="2D8BB5A1"/>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CC"/>
    <w:rsid w:val="000024E7"/>
    <w:rsid w:val="00022C55"/>
    <w:rsid w:val="00044930"/>
    <w:rsid w:val="000A2FF1"/>
    <w:rsid w:val="000A596E"/>
    <w:rsid w:val="000B2EDD"/>
    <w:rsid w:val="000B627F"/>
    <w:rsid w:val="000C17B7"/>
    <w:rsid w:val="000F3AED"/>
    <w:rsid w:val="001135DF"/>
    <w:rsid w:val="00135CE1"/>
    <w:rsid w:val="001369C3"/>
    <w:rsid w:val="001629EA"/>
    <w:rsid w:val="00173BD7"/>
    <w:rsid w:val="001A0274"/>
    <w:rsid w:val="002222B8"/>
    <w:rsid w:val="00235D19"/>
    <w:rsid w:val="00264FC6"/>
    <w:rsid w:val="002772F6"/>
    <w:rsid w:val="002A0186"/>
    <w:rsid w:val="002B4615"/>
    <w:rsid w:val="002B6F61"/>
    <w:rsid w:val="002B7FBA"/>
    <w:rsid w:val="002C2193"/>
    <w:rsid w:val="002C3F36"/>
    <w:rsid w:val="002C7590"/>
    <w:rsid w:val="00384218"/>
    <w:rsid w:val="003C3452"/>
    <w:rsid w:val="003D2CC7"/>
    <w:rsid w:val="003D7D9F"/>
    <w:rsid w:val="004205E8"/>
    <w:rsid w:val="00425CA3"/>
    <w:rsid w:val="004451F3"/>
    <w:rsid w:val="0044586C"/>
    <w:rsid w:val="00452DC3"/>
    <w:rsid w:val="00462A31"/>
    <w:rsid w:val="004D192C"/>
    <w:rsid w:val="004D7B91"/>
    <w:rsid w:val="00501BB5"/>
    <w:rsid w:val="005265DA"/>
    <w:rsid w:val="00546569"/>
    <w:rsid w:val="00555B81"/>
    <w:rsid w:val="0058336D"/>
    <w:rsid w:val="005C1AC5"/>
    <w:rsid w:val="006135E4"/>
    <w:rsid w:val="00672EB5"/>
    <w:rsid w:val="00674724"/>
    <w:rsid w:val="006973F1"/>
    <w:rsid w:val="006A5663"/>
    <w:rsid w:val="006F4DD6"/>
    <w:rsid w:val="007127F5"/>
    <w:rsid w:val="0072261D"/>
    <w:rsid w:val="00727505"/>
    <w:rsid w:val="0072760C"/>
    <w:rsid w:val="00764431"/>
    <w:rsid w:val="00766512"/>
    <w:rsid w:val="007D61B8"/>
    <w:rsid w:val="007F3B48"/>
    <w:rsid w:val="00827115"/>
    <w:rsid w:val="00874C31"/>
    <w:rsid w:val="0088259E"/>
    <w:rsid w:val="00887309"/>
    <w:rsid w:val="00894463"/>
    <w:rsid w:val="008A5469"/>
    <w:rsid w:val="008B55D8"/>
    <w:rsid w:val="008B652E"/>
    <w:rsid w:val="008E294B"/>
    <w:rsid w:val="00906DA6"/>
    <w:rsid w:val="0092353C"/>
    <w:rsid w:val="0092415A"/>
    <w:rsid w:val="00926E53"/>
    <w:rsid w:val="00973475"/>
    <w:rsid w:val="009759D4"/>
    <w:rsid w:val="00997C03"/>
    <w:rsid w:val="009B13FD"/>
    <w:rsid w:val="00A00077"/>
    <w:rsid w:val="00A07E60"/>
    <w:rsid w:val="00A21B61"/>
    <w:rsid w:val="00A331E4"/>
    <w:rsid w:val="00A46A26"/>
    <w:rsid w:val="00AA34B7"/>
    <w:rsid w:val="00AB09BA"/>
    <w:rsid w:val="00AC39F3"/>
    <w:rsid w:val="00AF1217"/>
    <w:rsid w:val="00B1198A"/>
    <w:rsid w:val="00B23C28"/>
    <w:rsid w:val="00B306DE"/>
    <w:rsid w:val="00B80053"/>
    <w:rsid w:val="00B80A9C"/>
    <w:rsid w:val="00B835DA"/>
    <w:rsid w:val="00BB60CB"/>
    <w:rsid w:val="00BC2CE4"/>
    <w:rsid w:val="00C2044E"/>
    <w:rsid w:val="00C21964"/>
    <w:rsid w:val="00C348C9"/>
    <w:rsid w:val="00C37012"/>
    <w:rsid w:val="00C53D69"/>
    <w:rsid w:val="00C63C0D"/>
    <w:rsid w:val="00C72B51"/>
    <w:rsid w:val="00CA4829"/>
    <w:rsid w:val="00CA5ABF"/>
    <w:rsid w:val="00D329AD"/>
    <w:rsid w:val="00D528A7"/>
    <w:rsid w:val="00DA61F0"/>
    <w:rsid w:val="00DE66AE"/>
    <w:rsid w:val="00DF000F"/>
    <w:rsid w:val="00E504D3"/>
    <w:rsid w:val="00E83D09"/>
    <w:rsid w:val="00E8794B"/>
    <w:rsid w:val="00EA6351"/>
    <w:rsid w:val="00EA785A"/>
    <w:rsid w:val="00EB1E4A"/>
    <w:rsid w:val="00EC345F"/>
    <w:rsid w:val="00EC66CC"/>
    <w:rsid w:val="00F02B32"/>
    <w:rsid w:val="00F03939"/>
    <w:rsid w:val="00F05EDA"/>
    <w:rsid w:val="00F407A8"/>
    <w:rsid w:val="00F52BB3"/>
    <w:rsid w:val="00FB308B"/>
    <w:rsid w:val="00FD71A7"/>
    <w:rsid w:val="00FF27B7"/>
    <w:rsid w:val="00FF6FBA"/>
    <w:rsid w:val="04DE6F16"/>
    <w:rsid w:val="06DE006E"/>
    <w:rsid w:val="10E07B77"/>
    <w:rsid w:val="268526BC"/>
    <w:rsid w:val="2E4B2AA1"/>
    <w:rsid w:val="333136FF"/>
    <w:rsid w:val="397E4A59"/>
    <w:rsid w:val="4739252E"/>
    <w:rsid w:val="5A347214"/>
    <w:rsid w:val="5A571812"/>
    <w:rsid w:val="5ADF16D1"/>
    <w:rsid w:val="5D720F12"/>
    <w:rsid w:val="5F535225"/>
    <w:rsid w:val="69125CEE"/>
    <w:rsid w:val="715619A3"/>
    <w:rsid w:val="77385865"/>
    <w:rsid w:val="7DDD0AFD"/>
    <w:rsid w:val="CB5FDB93"/>
    <w:rsid w:val="F77BC234"/>
    <w:rsid w:val="FFDF9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b/>
      <w:kern w:val="44"/>
      <w:sz w:val="48"/>
      <w:szCs w:val="48"/>
    </w:rPr>
  </w:style>
  <w:style w:type="paragraph" w:styleId="3">
    <w:name w:val="heading 2"/>
    <w:basedOn w:val="1"/>
    <w:next w:val="1"/>
    <w:qFormat/>
    <w:uiPriority w:val="9"/>
    <w:pPr>
      <w:spacing w:before="100" w:beforeAutospacing="1" w:after="100" w:afterAutospacing="1"/>
      <w:outlineLvl w:val="1"/>
    </w:pPr>
    <w:rPr>
      <w:rFonts w:hint="eastAsia"/>
      <w:b/>
      <w:sz w:val="36"/>
      <w:szCs w:val="36"/>
    </w:rPr>
  </w:style>
  <w:style w:type="paragraph" w:styleId="4">
    <w:name w:val="heading 3"/>
    <w:basedOn w:val="1"/>
    <w:next w:val="1"/>
    <w:qFormat/>
    <w:uiPriority w:val="9"/>
    <w:pPr>
      <w:spacing w:before="100" w:beforeAutospacing="1" w:after="100" w:afterAutospacing="1"/>
      <w:outlineLvl w:val="2"/>
    </w:pPr>
    <w:rPr>
      <w:rFonts w:hint="eastAsia"/>
      <w:b/>
      <w:sz w:val="27"/>
      <w:szCs w:val="27"/>
    </w:rPr>
  </w:style>
  <w:style w:type="paragraph" w:styleId="5">
    <w:name w:val="heading 4"/>
    <w:basedOn w:val="1"/>
    <w:next w:val="1"/>
    <w:qFormat/>
    <w:uiPriority w:val="9"/>
    <w:pPr>
      <w:spacing w:before="100" w:beforeAutospacing="1" w:after="100" w:afterAutospacing="1"/>
      <w:outlineLvl w:val="3"/>
    </w:pPr>
    <w:rPr>
      <w:rFonts w:hint="eastAsia"/>
      <w:b/>
    </w:rPr>
  </w:style>
  <w:style w:type="paragraph" w:styleId="6">
    <w:name w:val="heading 5"/>
    <w:basedOn w:val="1"/>
    <w:next w:val="1"/>
    <w:qFormat/>
    <w:uiPriority w:val="9"/>
    <w:pPr>
      <w:spacing w:before="100" w:beforeAutospacing="1" w:after="100" w:afterAutospacing="1"/>
      <w:outlineLvl w:val="4"/>
    </w:pPr>
    <w:rPr>
      <w:rFonts w:hint="eastAsia"/>
      <w:b/>
      <w:sz w:val="20"/>
      <w:szCs w:val="20"/>
    </w:rPr>
  </w:style>
  <w:style w:type="paragraph" w:styleId="7">
    <w:name w:val="heading 6"/>
    <w:basedOn w:val="1"/>
    <w:next w:val="1"/>
    <w:qFormat/>
    <w:uiPriority w:val="9"/>
    <w:pPr>
      <w:spacing w:before="100" w:beforeAutospacing="1" w:after="100" w:afterAutospacing="1"/>
      <w:outlineLvl w:val="5"/>
    </w:pPr>
    <w:rPr>
      <w:rFonts w:hint="eastAsia"/>
      <w:b/>
      <w:sz w:val="15"/>
      <w:szCs w:val="15"/>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59"/>
    <w:semiHidden/>
    <w:unhideWhenUsed/>
    <w:qFormat/>
    <w:uiPriority w:val="99"/>
    <w:rPr>
      <w:sz w:val="18"/>
      <w:szCs w:val="18"/>
    </w:rPr>
  </w:style>
  <w:style w:type="paragraph" w:styleId="9">
    <w:name w:val="footer"/>
    <w:basedOn w:val="1"/>
    <w:unhideWhenUsed/>
    <w:qFormat/>
    <w:uiPriority w:val="99"/>
    <w:pPr>
      <w:tabs>
        <w:tab w:val="center" w:pos="4153"/>
        <w:tab w:val="right" w:pos="8306"/>
      </w:tabs>
      <w:snapToGrid w:val="0"/>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14">
    <w:name w:val="Normal (Web)"/>
    <w:basedOn w:val="1"/>
    <w:unhideWhenUsed/>
    <w:qFormat/>
    <w:uiPriority w:val="99"/>
    <w:pPr>
      <w:spacing w:before="100" w:beforeAutospacing="1" w:after="100" w:afterAutospacing="1"/>
    </w:pPr>
  </w:style>
  <w:style w:type="character" w:styleId="17">
    <w:name w:val="Strong"/>
    <w:basedOn w:val="16"/>
    <w:qFormat/>
    <w:uiPriority w:val="22"/>
    <w:rPr>
      <w:b/>
    </w:rPr>
  </w:style>
  <w:style w:type="character" w:styleId="18">
    <w:name w:val="FollowedHyperlink"/>
    <w:basedOn w:val="16"/>
    <w:semiHidden/>
    <w:unhideWhenUsed/>
    <w:qFormat/>
    <w:uiPriority w:val="99"/>
    <w:rPr>
      <w:color w:val="800080"/>
      <w:u w:val="single"/>
    </w:rPr>
  </w:style>
  <w:style w:type="character" w:styleId="19">
    <w:name w:val="Emphasis"/>
    <w:basedOn w:val="16"/>
    <w:qFormat/>
    <w:uiPriority w:val="20"/>
    <w:rPr>
      <w:i/>
    </w:rPr>
  </w:style>
  <w:style w:type="character" w:styleId="20">
    <w:name w:val="Hyperlink"/>
    <w:basedOn w:val="16"/>
    <w:semiHidden/>
    <w:unhideWhenUsed/>
    <w:qFormat/>
    <w:uiPriority w:val="99"/>
    <w:rPr>
      <w:color w:val="0000FF"/>
      <w:u w:val="single"/>
    </w:rPr>
  </w:style>
  <w:style w:type="character" w:customStyle="1" w:styleId="21">
    <w:name w:val="bsharetext"/>
    <w:basedOn w:val="16"/>
    <w:qFormat/>
    <w:uiPriority w:val="0"/>
  </w:style>
  <w:style w:type="character" w:customStyle="1" w:styleId="22">
    <w:name w:val="p12_blue"/>
    <w:basedOn w:val="16"/>
    <w:qFormat/>
    <w:uiPriority w:val="0"/>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分类号"/>
    <w:basedOn w:val="1"/>
    <w:qFormat/>
    <w:uiPriority w:val="0"/>
    <w:pPr>
      <w:widowControl w:val="0"/>
      <w:jc w:val="both"/>
    </w:pPr>
    <w:rPr>
      <w:rFonts w:ascii="仿宋_GB2312" w:hAnsi="Times New Roman" w:eastAsia="仿宋_GB2312"/>
      <w:kern w:val="2"/>
      <w:sz w:val="28"/>
      <w:szCs w:val="28"/>
    </w:rPr>
  </w:style>
  <w:style w:type="paragraph" w:customStyle="1" w:styleId="25">
    <w:name w:val="封面日期"/>
    <w:basedOn w:val="1"/>
    <w:qFormat/>
    <w:uiPriority w:val="0"/>
    <w:pPr>
      <w:widowControl w:val="0"/>
      <w:jc w:val="center"/>
    </w:pPr>
    <w:rPr>
      <w:rFonts w:ascii="黑体" w:hAnsi="Times New Roman" w:eastAsia="黑体"/>
      <w:kern w:val="2"/>
      <w:sz w:val="32"/>
      <w:szCs w:val="32"/>
    </w:rPr>
  </w:style>
  <w:style w:type="paragraph" w:customStyle="1" w:styleId="26">
    <w:name w:val="论文标题"/>
    <w:basedOn w:val="1"/>
    <w:qFormat/>
    <w:uiPriority w:val="0"/>
    <w:pPr>
      <w:widowControl w:val="0"/>
      <w:jc w:val="center"/>
    </w:pPr>
    <w:rPr>
      <w:rFonts w:ascii="Times New Roman" w:hAnsi="Times New Roman" w:eastAsia="楷体_GB2312"/>
      <w:b/>
      <w:kern w:val="36"/>
      <w:sz w:val="52"/>
      <w:szCs w:val="52"/>
    </w:rPr>
  </w:style>
  <w:style w:type="paragraph" w:customStyle="1" w:styleId="27">
    <w:name w:val="普通(网站)1"/>
    <w:basedOn w:val="1"/>
    <w:qFormat/>
    <w:uiPriority w:val="0"/>
    <w:pPr>
      <w:spacing w:before="100" w:beforeAutospacing="1" w:after="100" w:afterAutospacing="1"/>
    </w:p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硕士学位论文"/>
    <w:basedOn w:val="1"/>
    <w:qFormat/>
    <w:uiPriority w:val="0"/>
    <w:pPr>
      <w:widowControl w:val="0"/>
      <w:spacing w:before="240"/>
      <w:jc w:val="center"/>
    </w:pPr>
    <w:rPr>
      <w:rFonts w:ascii="Times New Roman" w:hAnsi="Times New Roman"/>
      <w:kern w:val="2"/>
      <w:sz w:val="44"/>
      <w:szCs w:val="44"/>
    </w:rPr>
  </w:style>
  <w:style w:type="paragraph" w:customStyle="1" w:styleId="30">
    <w:name w:val="研究生姓名"/>
    <w:basedOn w:val="1"/>
    <w:qFormat/>
    <w:uiPriority w:val="0"/>
    <w:pPr>
      <w:widowControl w:val="0"/>
      <w:ind w:firstLine="700" w:firstLineChars="700"/>
      <w:jc w:val="both"/>
    </w:pPr>
    <w:rPr>
      <w:rFonts w:ascii="Times New Roman" w:hAnsi="Times New Roman"/>
      <w:kern w:val="2"/>
      <w:sz w:val="28"/>
      <w:szCs w:val="28"/>
    </w:rPr>
  </w:style>
  <w:style w:type="paragraph" w:customStyle="1" w:styleId="31">
    <w:name w:val="Default"/>
    <w:qFormat/>
    <w:uiPriority w:val="99"/>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2">
    <w:name w:val="xl65"/>
    <w:basedOn w:val="1"/>
    <w:qFormat/>
    <w:uiPriority w:val="0"/>
    <w:pPr>
      <w:shd w:val="clear" w:color="000000" w:fill="FFFFFF"/>
      <w:spacing w:before="100" w:beforeAutospacing="1" w:after="100" w:afterAutospacing="1"/>
      <w:textAlignment w:val="center"/>
    </w:pPr>
    <w:rPr>
      <w:rFonts w:cs="宋体"/>
      <w:sz w:val="18"/>
      <w:szCs w:val="18"/>
    </w:rPr>
  </w:style>
  <w:style w:type="paragraph" w:customStyle="1" w:styleId="33">
    <w:name w:val="xl66"/>
    <w:basedOn w:val="1"/>
    <w:qFormat/>
    <w:uiPriority w:val="0"/>
    <w:pPr>
      <w:pBdr>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4">
    <w:name w:val="xl67"/>
    <w:basedOn w:val="1"/>
    <w:qFormat/>
    <w:uiPriority w:val="0"/>
    <w:pPr>
      <w:pBdr>
        <w:bottom w:val="single" w:color="808080" w:sz="4" w:space="0"/>
      </w:pBdr>
      <w:shd w:val="clear" w:color="000000" w:fill="FFFFFF"/>
      <w:spacing w:before="100" w:beforeAutospacing="1" w:after="100" w:afterAutospacing="1"/>
      <w:textAlignment w:val="center"/>
    </w:pPr>
    <w:rPr>
      <w:rFonts w:cs="宋体"/>
      <w:color w:val="000000"/>
      <w:sz w:val="22"/>
      <w:szCs w:val="22"/>
    </w:rPr>
  </w:style>
  <w:style w:type="paragraph" w:customStyle="1" w:styleId="35">
    <w:name w:val="xl68"/>
    <w:basedOn w:val="1"/>
    <w:qFormat/>
    <w:uiPriority w:val="0"/>
    <w:pPr>
      <w:pBdr>
        <w:bottom w:val="single" w:color="808080" w:sz="4" w:space="0"/>
      </w:pBdr>
      <w:shd w:val="clear" w:color="000000" w:fill="FFFFFF"/>
      <w:spacing w:before="100" w:beforeAutospacing="1" w:after="100" w:afterAutospacing="1"/>
      <w:textAlignment w:val="center"/>
    </w:pPr>
    <w:rPr>
      <w:rFonts w:cs="宋体"/>
      <w:sz w:val="18"/>
      <w:szCs w:val="18"/>
    </w:rPr>
  </w:style>
  <w:style w:type="paragraph" w:customStyle="1" w:styleId="36">
    <w:name w:val="xl69"/>
    <w:basedOn w:val="1"/>
    <w:qFormat/>
    <w:uiPriority w:val="0"/>
    <w:pPr>
      <w:pBdr>
        <w:bottom w:val="single" w:color="808080" w:sz="4" w:space="0"/>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7">
    <w:name w:val="xl70"/>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rPr>
  </w:style>
  <w:style w:type="paragraph" w:customStyle="1" w:styleId="38">
    <w:name w:val="xl71"/>
    <w:basedOn w:val="1"/>
    <w:qFormat/>
    <w:uiPriority w:val="0"/>
    <w:pPr>
      <w:pBdr>
        <w:bottom w:val="single" w:color="808080" w:sz="4" w:space="0"/>
      </w:pBdr>
      <w:shd w:val="clear" w:color="000000" w:fill="FFFFFF"/>
      <w:spacing w:before="100" w:beforeAutospacing="1" w:after="100" w:afterAutospacing="1"/>
      <w:jc w:val="center"/>
      <w:textAlignment w:val="center"/>
    </w:pPr>
    <w:rPr>
      <w:rFonts w:cs="宋体"/>
      <w:color w:val="000000"/>
      <w:sz w:val="22"/>
      <w:szCs w:val="22"/>
    </w:rPr>
  </w:style>
  <w:style w:type="paragraph" w:customStyle="1" w:styleId="39">
    <w:name w:val="xl72"/>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40">
    <w:name w:val="xl73"/>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b/>
      <w:bCs/>
    </w:rPr>
  </w:style>
  <w:style w:type="paragraph" w:customStyle="1" w:styleId="41">
    <w:name w:val="xl74"/>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42">
    <w:name w:val="xl75"/>
    <w:basedOn w:val="1"/>
    <w:qFormat/>
    <w:uiPriority w:val="0"/>
    <w:pPr>
      <w:pBdr>
        <w:bottom w:val="single" w:color="000000" w:sz="4" w:space="0"/>
        <w:right w:val="single" w:color="000000" w:sz="4" w:space="0"/>
      </w:pBdr>
      <w:shd w:val="clear" w:color="000000" w:fill="C0C0C0"/>
      <w:spacing w:before="100" w:beforeAutospacing="1" w:after="100" w:afterAutospacing="1"/>
      <w:jc w:val="right"/>
      <w:textAlignment w:val="center"/>
    </w:pPr>
    <w:rPr>
      <w:rFonts w:cs="宋体"/>
      <w:b/>
      <w:bCs/>
    </w:rPr>
  </w:style>
  <w:style w:type="paragraph" w:customStyle="1" w:styleId="43">
    <w:name w:val="xl76"/>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sz w:val="18"/>
      <w:szCs w:val="18"/>
    </w:rPr>
  </w:style>
  <w:style w:type="paragraph" w:customStyle="1" w:styleId="44">
    <w:name w:val="xl77"/>
    <w:basedOn w:val="1"/>
    <w:qFormat/>
    <w:uiPriority w:val="0"/>
    <w:pPr>
      <w:pBdr>
        <w:bottom w:val="single" w:color="000000" w:sz="4" w:space="0"/>
        <w:right w:val="single" w:color="000000" w:sz="4" w:space="0"/>
      </w:pBdr>
      <w:shd w:val="clear" w:color="000000" w:fill="CCFFFF"/>
      <w:spacing w:before="100" w:beforeAutospacing="1" w:after="100" w:afterAutospacing="1"/>
      <w:textAlignment w:val="center"/>
    </w:pPr>
    <w:rPr>
      <w:rFonts w:cs="宋体"/>
    </w:rPr>
  </w:style>
  <w:style w:type="paragraph" w:customStyle="1" w:styleId="45">
    <w:name w:val="xl78"/>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rPr>
  </w:style>
  <w:style w:type="paragraph" w:customStyle="1" w:styleId="46">
    <w:name w:val="xl79"/>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47">
    <w:name w:val="xl80"/>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48">
    <w:name w:val="xl81"/>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49">
    <w:name w:val="xl82"/>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0">
    <w:name w:val="xl83"/>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1">
    <w:name w:val="xl84"/>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2">
    <w:name w:val="xl85"/>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3">
    <w:name w:val="xl86"/>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4">
    <w:name w:val="xl87"/>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55">
    <w:name w:val="xl88"/>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56">
    <w:name w:val="xl8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cs="宋体"/>
    </w:rPr>
  </w:style>
  <w:style w:type="paragraph" w:customStyle="1" w:styleId="57">
    <w:name w:val="xl90"/>
    <w:basedOn w:val="1"/>
    <w:qFormat/>
    <w:uiPriority w:val="0"/>
    <w:pPr>
      <w:shd w:val="clear" w:color="000000" w:fill="FFFFFF"/>
      <w:spacing w:before="100" w:beforeAutospacing="1" w:after="100" w:afterAutospacing="1"/>
      <w:textAlignment w:val="center"/>
    </w:pPr>
    <w:rPr>
      <w:rFonts w:cs="宋体"/>
    </w:rPr>
  </w:style>
  <w:style w:type="paragraph" w:customStyle="1" w:styleId="58">
    <w:name w:val="xl91"/>
    <w:basedOn w:val="1"/>
    <w:qFormat/>
    <w:uiPriority w:val="0"/>
    <w:pPr>
      <w:spacing w:before="100" w:beforeAutospacing="1" w:after="100" w:afterAutospacing="1"/>
      <w:textAlignment w:val="center"/>
    </w:pPr>
    <w:rPr>
      <w:rFonts w:cs="宋体"/>
    </w:rPr>
  </w:style>
  <w:style w:type="character" w:customStyle="1" w:styleId="59">
    <w:name w:val="批注框文本 Char"/>
    <w:basedOn w:val="16"/>
    <w:link w:val="8"/>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2264</Words>
  <Characters>12910</Characters>
  <Lines>107</Lines>
  <Paragraphs>30</Paragraphs>
  <TotalTime>5</TotalTime>
  <ScaleCrop>false</ScaleCrop>
  <LinksUpToDate>false</LinksUpToDate>
  <CharactersWithSpaces>15144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2021-08-20T16:42:00Z</dcterms:created>
  <dc:creator>xiaofei li</dc:creator>
  <cp:lastModifiedBy>Administrator</cp:lastModifiedBy>
  <cp:lastPrinted>2021-09-08T17:32:00Z</cp:lastPrinted>
  <dcterms:modified xsi:type="dcterms:W3CDTF">2022-09-23T11:52:16Z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F8E6F686A83749DBB52F40805D536E5E</vt:lpwstr>
  </property>
</Properties>
</file>