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</w:t>
      </w:r>
      <w:r>
        <w:rPr>
          <w:rFonts w:hint="eastAsia" w:eastAsia="方正小标宋_GBK"/>
          <w:bCs/>
          <w:kern w:val="0"/>
          <w:sz w:val="44"/>
          <w:szCs w:val="44"/>
        </w:rPr>
        <w:t>21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ascii="方正小标宋_GBK" w:eastAsia="方正小标宋_GBK"/>
          <w:bCs/>
          <w:kern w:val="0"/>
          <w:sz w:val="44"/>
          <w:szCs w:val="44"/>
        </w:rPr>
        <w:t>双峰县人民检察院</w:t>
      </w:r>
      <w:r>
        <w:rPr>
          <w:rFonts w:hint="eastAsia" w:eastAsia="方正小标宋_GBK"/>
          <w:bCs/>
          <w:kern w:val="0"/>
          <w:sz w:val="44"/>
          <w:szCs w:val="44"/>
        </w:rPr>
        <w:t>单位</w:t>
      </w:r>
      <w:r>
        <w:rPr>
          <w:rFonts w:eastAsia="方正小标宋_GBK"/>
          <w:bCs/>
          <w:kern w:val="0"/>
          <w:sz w:val="44"/>
          <w:szCs w:val="44"/>
        </w:rPr>
        <w:t>预算</w:t>
      </w:r>
    </w:p>
    <w:p>
      <w:pPr>
        <w:widowControl/>
        <w:spacing w:line="600" w:lineRule="exact"/>
        <w:jc w:val="center"/>
        <w:rPr>
          <w:rFonts w:ascii="楷体_GB2312"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rPr>
          <w:rFonts w:ascii="方正小标宋_GBK"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eastAsia="仿宋_GB2312"/>
          <w:b/>
          <w:bCs/>
          <w:kern w:val="0"/>
          <w:sz w:val="32"/>
          <w:szCs w:val="32"/>
        </w:rPr>
        <w:t>2021年</w:t>
      </w: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</w:rPr>
        <w:t>单位</w:t>
      </w:r>
      <w:r>
        <w:rPr>
          <w:rFonts w:hint="eastAsia" w:eastAsia="仿宋_GB2312"/>
          <w:b/>
          <w:bCs/>
          <w:kern w:val="0"/>
          <w:sz w:val="32"/>
          <w:szCs w:val="32"/>
        </w:rPr>
        <w:t>预算说明</w:t>
      </w: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</w:rPr>
        <w:t>2021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</w:rPr>
        <w:t>单位</w:t>
      </w:r>
      <w:r>
        <w:rPr>
          <w:rFonts w:eastAsia="仿宋_GB2312"/>
          <w:b/>
          <w:bCs/>
          <w:kern w:val="0"/>
          <w:sz w:val="32"/>
          <w:szCs w:val="32"/>
        </w:rPr>
        <w:t>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</w:t>
      </w:r>
      <w:r>
        <w:rPr>
          <w:rFonts w:hint="eastAsia" w:eastAsia="仿宋_GB2312"/>
          <w:sz w:val="32"/>
          <w:szCs w:val="32"/>
        </w:rPr>
        <w:t>支出预算分类汇总表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</w:t>
      </w:r>
      <w:r>
        <w:rPr>
          <w:rFonts w:hint="eastAsia" w:eastAsia="仿宋_GB2312"/>
          <w:sz w:val="32"/>
          <w:szCs w:val="32"/>
        </w:rPr>
        <w:t>预算分类汇总</w:t>
      </w:r>
      <w:r>
        <w:rPr>
          <w:rFonts w:eastAsia="仿宋_GB2312"/>
          <w:sz w:val="32"/>
          <w:szCs w:val="32"/>
        </w:rPr>
        <w:t>表（按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</w:t>
      </w:r>
      <w:r>
        <w:rPr>
          <w:rFonts w:hint="eastAsia" w:eastAsia="仿宋_GB2312"/>
          <w:sz w:val="32"/>
          <w:szCs w:val="32"/>
        </w:rPr>
        <w:t>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</w:t>
      </w:r>
      <w:r>
        <w:rPr>
          <w:rFonts w:hint="eastAsia" w:eastAsia="仿宋_GB2312"/>
          <w:sz w:val="32"/>
          <w:szCs w:val="32"/>
        </w:rPr>
        <w:t>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</w:t>
      </w:r>
      <w:r>
        <w:rPr>
          <w:rFonts w:hint="eastAsia" w:eastAsia="仿宋_GB2312"/>
          <w:sz w:val="32"/>
          <w:szCs w:val="32"/>
        </w:rPr>
        <w:t>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12、一般公共预算基本支出表-公用经费（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一般公共预算基本支出表-公用经费（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第一部分 </w:t>
      </w:r>
      <w:r>
        <w:rPr>
          <w:rFonts w:hint="eastAsia"/>
          <w:b/>
          <w:bCs/>
          <w:kern w:val="0"/>
          <w:sz w:val="44"/>
          <w:szCs w:val="44"/>
        </w:rPr>
        <w:t>2021</w:t>
      </w:r>
      <w:r>
        <w:rPr>
          <w:b/>
          <w:bCs/>
          <w:kern w:val="0"/>
          <w:sz w:val="44"/>
          <w:szCs w:val="44"/>
        </w:rPr>
        <w:t>年</w:t>
      </w:r>
      <w:r>
        <w:rPr>
          <w:rFonts w:hint="eastAsia"/>
          <w:b/>
          <w:bCs/>
          <w:kern w:val="0"/>
          <w:sz w:val="44"/>
          <w:szCs w:val="44"/>
        </w:rPr>
        <w:t>单位</w:t>
      </w:r>
      <w:r>
        <w:rPr>
          <w:b/>
          <w:bCs/>
          <w:kern w:val="0"/>
          <w:sz w:val="44"/>
          <w:szCs w:val="44"/>
        </w:rPr>
        <w:t>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ind w:firstLine="629" w:firstLineChars="196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（一）职能职责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双峰县人民检察院是国家的法律监督机关，接受上级人民检察院的领导，对县人民代表大会及其常务委员会负责并报告工作。其主要职责是：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(一)深入贯彻习近平新时代中国特色社会主义思想，深入贯彻党的路线方针政策和决策部署，坚持党对检察工作的绝对领导，坚决维护习近平总书记的核心地位，坚决维护党中央权威和集中统一领导。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(二)贯彻落实上级人民检察院的各项工作部署，研究制定检察工作规划，部署检察工作任务。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(三)依照法律规定对由县人民检察院直接受理的刑事案件</w:t>
      </w:r>
      <w:r>
        <w:rPr>
          <w:rFonts w:ascii="仿宋_GB2312" w:hAnsi="仿宋_GB2312" w:eastAsia="仿宋_GB2312" w:cs="仿宋_GB2312"/>
          <w:sz w:val="32"/>
        </w:rPr>
        <w:t>行使</w:t>
      </w:r>
      <w:r>
        <w:rPr>
          <w:rFonts w:hint="eastAsia" w:ascii="仿宋" w:hAnsi="仿宋" w:eastAsia="仿宋"/>
          <w:sz w:val="32"/>
          <w:szCs w:val="32"/>
        </w:rPr>
        <w:t>侦查权。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（四)对刑事案件依法审査批准逮捕、决定逮捕、提起公诉。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(五)负责应由县人民检察院承办的刑事、民事、行政诉讼活动及刑事、民事、行政判决和裁定等生效法律文书执行的法律监督工作。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(六)负责应由县人民检察院承办的提起公益诉讼工作。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(七)负责应由县人民检察院承办的对看守所、社区矫正机构等执法活动的法律监督工作。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(八)受理向县人民检察院的控告申诉。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(九)负责检察机关的理论研究工作。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(十)负责检察机关队伍建设和思想政治工作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(十一)负责检务督察工作。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(十二)负责检察机关财物装备和检察技术信息工作。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(十三)负责其他应当由县人民检察院承办的事项。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（二）机构设置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双峰县人民检察院</w:t>
      </w:r>
      <w:r>
        <w:rPr>
          <w:rFonts w:ascii="仿宋_GB2312" w:hAnsi="仿宋_GB2312" w:eastAsia="仿宋_GB2312" w:cs="仿宋_GB2312"/>
          <w:sz w:val="32"/>
        </w:rPr>
        <w:t>内设</w:t>
      </w:r>
      <w:r>
        <w:rPr>
          <w:rFonts w:hint="eastAsia" w:ascii="仿宋" w:hAnsi="仿宋" w:eastAsia="仿宋"/>
          <w:sz w:val="32"/>
          <w:szCs w:val="32"/>
        </w:rPr>
        <w:t>办公室、第一检察部、第二检察部、第三检察部、第四检察部、第五检察部、第六检察部、政治部(司法警察大队)</w:t>
      </w:r>
      <w:r>
        <w:rPr>
          <w:rFonts w:ascii="仿宋_GB2312" w:hAnsi="仿宋_GB2312" w:eastAsia="仿宋_GB2312" w:cs="仿宋_GB2312"/>
          <w:sz w:val="32"/>
        </w:rPr>
        <w:t>及机关党委、工会等组织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预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算单位构成。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双峰县</w:t>
      </w:r>
      <w:r>
        <w:rPr>
          <w:rFonts w:hint="eastAsia" w:ascii="仿宋" w:hAnsi="仿宋" w:eastAsia="仿宋" w:cs="Times New Roman"/>
          <w:sz w:val="32"/>
          <w:szCs w:val="32"/>
        </w:rPr>
        <w:t>人民检察院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只有本级，无其他预算单位，因此本预算仅含本级预算。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二、单位</w:t>
      </w:r>
      <w:r>
        <w:rPr>
          <w:rFonts w:eastAsia="黑体"/>
          <w:bCs/>
          <w:kern w:val="0"/>
          <w:sz w:val="32"/>
          <w:szCs w:val="32"/>
        </w:rPr>
        <w:t>收支总体情况</w:t>
      </w:r>
    </w:p>
    <w:p>
      <w:pPr>
        <w:ind w:firstLine="642" w:firstLineChars="200"/>
        <w:outlineLvl w:val="2"/>
        <w:rPr>
          <w:rFonts w:ascii="宋体" w:hAnsi="宋体" w:eastAsia="仿宋_GB2312" w:cs="宋体"/>
          <w:b/>
          <w:bCs/>
          <w:sz w:val="20"/>
          <w:szCs w:val="20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（一）收入预算：</w:t>
      </w:r>
      <w:r>
        <w:rPr>
          <w:rFonts w:hint="eastAsia" w:ascii="仿宋_GB2312" w:eastAsia="仿宋_GB2312"/>
          <w:sz w:val="32"/>
          <w:szCs w:val="32"/>
        </w:rPr>
        <w:t>包括一般公共预算、</w:t>
      </w:r>
      <w:r>
        <w:rPr>
          <w:rFonts w:hint="eastAsia" w:ascii="仿宋_GB2312" w:eastAsia="仿宋_GB2312"/>
          <w:color w:val="000000"/>
          <w:sz w:val="32"/>
          <w:szCs w:val="32"/>
        </w:rPr>
        <w:t>中央财政补助和上年结余结转资金</w:t>
      </w:r>
      <w:r>
        <w:rPr>
          <w:rFonts w:hint="eastAsia" w:ascii="仿宋_GB2312" w:eastAsia="仿宋_GB2312"/>
          <w:sz w:val="32"/>
          <w:szCs w:val="32"/>
        </w:rPr>
        <w:t>。2021年本单位收入预算1415.19万元，其中，一般公共预算拨款989.91万元，中央财政补助384.28万元，无政府性基金、国有资本经营预算拨款和纳入专户管理的非税收入，上年结余结转41万元（今年首次纳入预算批复），收入较去年减少10.7万元，主要是因为本年度一般公共预算拨款减少64.7万，</w:t>
      </w:r>
      <w:r>
        <w:rPr>
          <w:rFonts w:hint="eastAsia" w:ascii="仿宋_GB2312" w:eastAsia="仿宋_GB2312"/>
          <w:color w:val="000000"/>
          <w:sz w:val="32"/>
          <w:szCs w:val="32"/>
        </w:rPr>
        <w:t>上年结余结转资金增加41万，</w:t>
      </w:r>
      <w:r>
        <w:rPr>
          <w:rFonts w:hint="eastAsia" w:ascii="仿宋_GB2312" w:eastAsia="仿宋_GB2312"/>
          <w:sz w:val="32"/>
          <w:szCs w:val="32"/>
        </w:rPr>
        <w:t>中央财政补助增加13万。</w:t>
      </w:r>
    </w:p>
    <w:p>
      <w:pPr>
        <w:ind w:firstLine="642" w:firstLineChars="200"/>
        <w:rPr>
          <w:rFonts w:ascii="宋体" w:hAnsi="宋体" w:cs="宋体"/>
          <w:b/>
          <w:bCs/>
          <w:sz w:val="20"/>
          <w:szCs w:val="20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（二）支出预算：</w:t>
      </w:r>
      <w:r>
        <w:rPr>
          <w:rFonts w:hint="eastAsia" w:ascii="仿宋_GB2312" w:eastAsia="仿宋_GB2312"/>
          <w:sz w:val="32"/>
          <w:szCs w:val="32"/>
        </w:rPr>
        <w:t>2021年本单位支出预算1415.19万元，其中，公共安全1219.08万元，社会保障和就业支出80.02万元，卫生</w:t>
      </w:r>
      <w:r>
        <w:rPr>
          <w:rFonts w:hint="eastAsia" w:ascii="仿宋_GB2312" w:hAnsi="宋体" w:eastAsia="仿宋_GB2312"/>
          <w:sz w:val="32"/>
          <w:szCs w:val="32"/>
        </w:rPr>
        <w:t>健康支出35.59万元，住房保障支出80.5万元。</w:t>
      </w:r>
      <w:r>
        <w:rPr>
          <w:rFonts w:hint="eastAsia" w:ascii="仿宋_GB2312" w:eastAsia="仿宋_GB2312"/>
          <w:sz w:val="32"/>
          <w:szCs w:val="32"/>
        </w:rPr>
        <w:t>支出较去年减少10.7万元，主要是因为公共安全支出减少1.52万元，社会保障和就业支出减少0.74万元，卫生</w:t>
      </w:r>
      <w:r>
        <w:rPr>
          <w:rFonts w:hint="eastAsia" w:ascii="仿宋_GB2312" w:hAnsi="宋体" w:eastAsia="仿宋_GB2312"/>
          <w:sz w:val="32"/>
          <w:szCs w:val="32"/>
        </w:rPr>
        <w:t>健康支出减少3.03万元，住房保障支出减少5.41万元。</w:t>
      </w:r>
    </w:p>
    <w:p>
      <w:pPr>
        <w:widowControl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一般公共预算拨款支出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2021年本单位一般公共预算拨款支出预算1415.19万元，其中，公共安全支出1219.08万元，占86.14%；社会保障和就业支出80.02万元，占5.65%；卫生健康支出</w:t>
      </w:r>
      <w:r>
        <w:rPr>
          <w:rFonts w:hint="eastAsia" w:ascii="仿宋_GB2312" w:hAnsi="宋体" w:eastAsia="仿宋_GB2312"/>
          <w:sz w:val="32"/>
          <w:szCs w:val="32"/>
        </w:rPr>
        <w:t>35.59</w:t>
      </w:r>
      <w:r>
        <w:rPr>
          <w:rFonts w:hint="eastAsia" w:ascii="仿宋_GB2312" w:eastAsia="仿宋_GB2312"/>
          <w:sz w:val="32"/>
          <w:szCs w:val="32"/>
        </w:rPr>
        <w:t>万元，占2.51%；住房保障支出</w:t>
      </w:r>
      <w:r>
        <w:rPr>
          <w:rFonts w:hint="eastAsia" w:ascii="仿宋_GB2312" w:hAnsi="宋体" w:eastAsia="仿宋_GB2312"/>
          <w:sz w:val="32"/>
          <w:szCs w:val="32"/>
        </w:rPr>
        <w:t>80.5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占5.69%。</w:t>
      </w:r>
      <w:r>
        <w:rPr>
          <w:rFonts w:hint="eastAsia" w:ascii="仿宋_GB2312" w:eastAsia="仿宋_GB2312"/>
          <w:sz w:val="32"/>
          <w:szCs w:val="32"/>
        </w:rPr>
        <w:t>具体安排情况如下：</w:t>
      </w:r>
    </w:p>
    <w:p>
      <w:pPr>
        <w:widowControl/>
        <w:spacing w:line="600" w:lineRule="exact"/>
        <w:ind w:firstLine="66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（一）基本支出：</w:t>
      </w:r>
      <w:r>
        <w:rPr>
          <w:rFonts w:hint="eastAsia" w:ascii="仿宋_GB2312" w:eastAsia="仿宋_GB2312"/>
          <w:sz w:val="32"/>
          <w:szCs w:val="32"/>
        </w:rPr>
        <w:t>2021年本单位基本支出预算数1337.07万元，主要是为保障单位正常运转、完成日常工作任务而发生的各项支出，包括用于基本工资、津贴补贴等人员经费以及办公费、印刷费、水电费、办公设备购置等公用经费。</w:t>
      </w:r>
    </w:p>
    <w:p>
      <w:pPr>
        <w:ind w:firstLine="640"/>
        <w:outlineLvl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（二）项目支出：</w:t>
      </w:r>
      <w:r>
        <w:rPr>
          <w:rFonts w:hint="eastAsia" w:ascii="仿宋_GB2312" w:eastAsia="仿宋_GB2312"/>
          <w:sz w:val="32"/>
          <w:szCs w:val="32"/>
        </w:rPr>
        <w:t>2021年本单位项目支出预算78.12万元，主要是</w:t>
      </w:r>
      <w:r>
        <w:rPr>
          <w:rFonts w:hint="eastAsia" w:ascii="仿宋_GB2312" w:hAnsi="宋体" w:eastAsia="仿宋_GB2312"/>
          <w:sz w:val="32"/>
          <w:szCs w:val="32"/>
        </w:rPr>
        <w:t>单位为完成特定行政工作任务或事业发展目标而发生的支出，包括有关事业发展专项、专项业务费、基本建设支出等，其中：业务工作专项支出</w:t>
      </w:r>
      <w:r>
        <w:rPr>
          <w:rFonts w:hint="eastAsia" w:ascii="仿宋_GB2312" w:eastAsia="仿宋_GB2312"/>
          <w:bCs/>
          <w:sz w:val="32"/>
          <w:szCs w:val="32"/>
        </w:rPr>
        <w:t>54</w:t>
      </w:r>
      <w:r>
        <w:rPr>
          <w:rFonts w:hint="eastAsia" w:ascii="仿宋_GB2312" w:hAnsi="宋体" w:eastAsia="仿宋_GB2312"/>
          <w:sz w:val="32"/>
          <w:szCs w:val="32"/>
        </w:rPr>
        <w:t>万元，主要用于扫黑除恶专项支出；运行维护专项支出24.12万元，主要用于办公设备购置、检察公开听证室建设、快速检测体系建设。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四、政府性基金预算支出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2021年本部门无政府性基金安排的支出。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42" w:firstLineChars="200"/>
        <w:outlineLvl w:val="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（一）机关运行经费：</w:t>
      </w:r>
      <w:r>
        <w:rPr>
          <w:rFonts w:hint="eastAsia" w:ascii="仿宋_GB2312" w:hAnsi="宋体" w:eastAsia="仿宋_GB2312"/>
          <w:sz w:val="32"/>
          <w:szCs w:val="32"/>
        </w:rPr>
        <w:t>如考虑中央财政补助，按全口径统计，2021年本单位机关运行经费443.65万元，</w:t>
      </w:r>
      <w:r>
        <w:rPr>
          <w:rFonts w:hint="eastAsia" w:ascii="仿宋_GB2312" w:eastAsia="仿宋_GB2312"/>
          <w:sz w:val="32"/>
          <w:szCs w:val="32"/>
        </w:rPr>
        <w:t>2020年本单位运行经费预算为485.27万元，2021年</w:t>
      </w:r>
      <w:r>
        <w:rPr>
          <w:rFonts w:hint="eastAsia" w:ascii="仿宋_GB2312" w:hAnsi="宋体" w:eastAsia="仿宋_GB2312"/>
          <w:sz w:val="32"/>
          <w:szCs w:val="32"/>
        </w:rPr>
        <w:t>比2020年预算减少41.62</w:t>
      </w:r>
      <w:r>
        <w:rPr>
          <w:rFonts w:hint="eastAsia" w:ascii="仿宋_GB2312" w:eastAsia="仿宋_GB2312"/>
          <w:sz w:val="32"/>
          <w:szCs w:val="32"/>
        </w:rPr>
        <w:t>万元，下降8.58 %，主要是按要求严格控制机关运行经费预算。</w:t>
      </w:r>
    </w:p>
    <w:p>
      <w:pPr>
        <w:widowControl/>
        <w:spacing w:line="600" w:lineRule="exact"/>
        <w:ind w:firstLine="642" w:firstLineChars="200"/>
        <w:outlineLvl w:val="2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（二）“三公”经费预算：</w:t>
      </w:r>
      <w:r>
        <w:rPr>
          <w:rFonts w:hint="eastAsia" w:ascii="仿宋_GB2312" w:hAnsi="宋体" w:eastAsia="仿宋_GB2312"/>
          <w:sz w:val="32"/>
          <w:szCs w:val="32"/>
        </w:rPr>
        <w:t>如考虑中央财政补助，按全口径统计，2021年本单位</w:t>
      </w:r>
      <w:r>
        <w:rPr>
          <w:rFonts w:hint="eastAsia" w:ascii="仿宋_GB2312" w:eastAsia="仿宋_GB2312"/>
          <w:sz w:val="32"/>
          <w:szCs w:val="32"/>
        </w:rPr>
        <w:t>“三公”经费预算数为38.5万元，其中，公务接待费7万元，公务用车购置及运行费31.5万元（其中，公务用车购置费0元，公务用车运行费34.5万元），因公出国（境）费 0元。2021年“三公”经费预算较上年减少9万元，主要是因为进一步压减经费开支。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exact"/>
        <w:ind w:firstLine="642" w:firstLineChars="200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（三）一般性支出情况：：</w:t>
      </w:r>
      <w:r>
        <w:rPr>
          <w:rFonts w:hint="eastAsia" w:ascii="仿宋_GB2312" w:eastAsia="仿宋_GB2312"/>
          <w:sz w:val="32"/>
          <w:szCs w:val="32"/>
        </w:rPr>
        <w:t>2021年本单位会议费预算0万元，培训费预算0万元</w:t>
      </w:r>
      <w:r>
        <w:rPr>
          <w:rFonts w:hint="eastAsia" w:ascii="仿宋_GB2312" w:eastAsia="仿宋_GB2312"/>
          <w:sz w:val="32"/>
          <w:szCs w:val="32"/>
          <w:lang w:eastAsia="zh-CN"/>
        </w:rPr>
        <w:t>，拟</w:t>
      </w:r>
      <w:r>
        <w:rPr>
          <w:rFonts w:hint="eastAsia" w:ascii="仿宋_GB2312" w:hAnsi="宋体" w:eastAsia="仿宋_GB2312"/>
          <w:sz w:val="32"/>
          <w:lang w:eastAsia="zh-CN"/>
        </w:rPr>
        <w:t>举</w:t>
      </w:r>
      <w:r>
        <w:rPr>
          <w:rFonts w:hint="eastAsia" w:ascii="仿宋_GB2312" w:hAnsi="宋体" w:eastAsia="仿宋_GB2312"/>
          <w:sz w:val="32"/>
          <w:lang w:val="en-US" w:eastAsia="zh-CN"/>
        </w:rPr>
        <w:t>办</w:t>
      </w:r>
      <w:r>
        <w:rPr>
          <w:rFonts w:hint="eastAsia" w:ascii="仿宋_GB2312" w:hAnsi="宋体" w:eastAsia="仿宋_GB2312" w:cs="Times New Roman"/>
          <w:sz w:val="32"/>
          <w:lang w:val="en-US" w:eastAsia="zh-CN"/>
        </w:rPr>
        <w:t>节庆、晚会、论坛、赛事活动，经费预算0万元。</w:t>
      </w:r>
      <w:bookmarkStart w:id="0" w:name="_GoBack"/>
      <w:bookmarkEnd w:id="0"/>
    </w:p>
    <w:p>
      <w:pPr>
        <w:widowControl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（四）政府采购情况：</w:t>
      </w: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</w:rPr>
        <w:t>政府采购预算总额 43.39万元，其中，</w:t>
      </w:r>
      <w:r>
        <w:rPr>
          <w:rFonts w:hint="eastAsia" w:ascii="仿宋_GB2312" w:hAnsi="宋体" w:eastAsia="仿宋_GB2312"/>
          <w:sz w:val="32"/>
          <w:szCs w:val="32"/>
        </w:rPr>
        <w:t>政府采购货物预算0</w:t>
      </w:r>
      <w:r>
        <w:rPr>
          <w:rFonts w:hint="eastAsia" w:ascii="仿宋_GB2312" w:eastAsia="仿宋_GB2312"/>
          <w:sz w:val="32"/>
          <w:szCs w:val="32"/>
        </w:rPr>
        <w:t>万元；</w:t>
      </w:r>
      <w:r>
        <w:rPr>
          <w:rFonts w:hint="eastAsia" w:ascii="仿宋_GB2312" w:hAnsi="宋体" w:eastAsia="仿宋_GB2312"/>
          <w:sz w:val="32"/>
          <w:szCs w:val="32"/>
        </w:rPr>
        <w:t>政府采购服务预算</w:t>
      </w:r>
      <w:r>
        <w:rPr>
          <w:rFonts w:hint="eastAsia" w:ascii="仿宋_GB2312" w:eastAsia="仿宋_GB2312"/>
          <w:sz w:val="32"/>
          <w:szCs w:val="32"/>
        </w:rPr>
        <w:t>43.39万元；工程采购预算0万元。</w:t>
      </w:r>
    </w:p>
    <w:p>
      <w:pPr>
        <w:widowControl/>
        <w:spacing w:line="600" w:lineRule="atLeast"/>
        <w:ind w:firstLine="642" w:firstLineChars="200"/>
        <w:jc w:val="left"/>
        <w:outlineLvl w:val="2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截至2020年12月底，本单位共有公务用车6辆，其中，机要通信用车0辆，应急保障用车0辆，执法执勤用车6辆，特种专业技术用车0辆，其他按照规定配备的公务用车0辆。单位价值50万元以上通用设备0台，单位价值100万元以上专用设备0台。2021年无新增配置公务用车计划。2021年无新增配备单位价值50万元以上通用设备计划。</w:t>
      </w:r>
    </w:p>
    <w:p>
      <w:pPr>
        <w:widowControl/>
        <w:spacing w:line="600" w:lineRule="atLeast"/>
        <w:ind w:firstLine="642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本单位所有支出实行绩效目标管理。纳入2021年单位整体支出绩效目标的金额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1374.19万元，其中，基本支出1337.07万元，项目支出37.12万元，具体绩效目标详见报表。</w:t>
      </w:r>
    </w:p>
    <w:p>
      <w:pPr>
        <w:widowControl/>
        <w:spacing w:line="600" w:lineRule="atLeas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（七）其他问题说明：</w:t>
      </w:r>
      <w:r>
        <w:rPr>
          <w:rFonts w:hint="eastAsia" w:ascii="仿宋_GB2312" w:eastAsia="仿宋_GB2312"/>
          <w:sz w:val="32"/>
          <w:szCs w:val="32"/>
        </w:rPr>
        <w:t>2021年双峰县人民检察院无政府性基金预算支出、国有资本经营预算支出、财政专户管理资金预算支出和省级专项资金预算，所以表15、16、17、18、19、20、21无数据。</w:t>
      </w:r>
    </w:p>
    <w:p>
      <w:pPr>
        <w:widowControl/>
        <w:numPr>
          <w:ilvl w:val="0"/>
          <w:numId w:val="1"/>
        </w:numPr>
        <w:spacing w:line="600" w:lineRule="atLeast"/>
        <w:ind w:left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名词解释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7398A"/>
    <w:multiLevelType w:val="singleLevel"/>
    <w:tmpl w:val="EA17398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hYzg3MTk3NzkyNWFlNjA0NDk5OGU3OTNlMWFmZDAifQ=="/>
  </w:docVars>
  <w:rsids>
    <w:rsidRoot w:val="00172A27"/>
    <w:rsid w:val="00040E2E"/>
    <w:rsid w:val="00137403"/>
    <w:rsid w:val="00140B81"/>
    <w:rsid w:val="00172A27"/>
    <w:rsid w:val="00292A17"/>
    <w:rsid w:val="002958D4"/>
    <w:rsid w:val="00393DD4"/>
    <w:rsid w:val="003B3D4E"/>
    <w:rsid w:val="00417B62"/>
    <w:rsid w:val="00482534"/>
    <w:rsid w:val="006953E9"/>
    <w:rsid w:val="006C018D"/>
    <w:rsid w:val="007C63C0"/>
    <w:rsid w:val="008525C9"/>
    <w:rsid w:val="008B7300"/>
    <w:rsid w:val="00AE5FD9"/>
    <w:rsid w:val="00B34AC3"/>
    <w:rsid w:val="00BA52EE"/>
    <w:rsid w:val="00C30100"/>
    <w:rsid w:val="00C46464"/>
    <w:rsid w:val="00DE28DD"/>
    <w:rsid w:val="00EA46F1"/>
    <w:rsid w:val="013645C3"/>
    <w:rsid w:val="03195788"/>
    <w:rsid w:val="04004C1C"/>
    <w:rsid w:val="05510DB5"/>
    <w:rsid w:val="059E4EED"/>
    <w:rsid w:val="05A5559C"/>
    <w:rsid w:val="068B4503"/>
    <w:rsid w:val="084B35B4"/>
    <w:rsid w:val="09445574"/>
    <w:rsid w:val="0A47328F"/>
    <w:rsid w:val="0BBF3EFE"/>
    <w:rsid w:val="0C6B1FA9"/>
    <w:rsid w:val="0F715ECE"/>
    <w:rsid w:val="0F84395A"/>
    <w:rsid w:val="115B2180"/>
    <w:rsid w:val="14075EAB"/>
    <w:rsid w:val="14353B16"/>
    <w:rsid w:val="147A65BA"/>
    <w:rsid w:val="14F90C5B"/>
    <w:rsid w:val="15D41360"/>
    <w:rsid w:val="188513F9"/>
    <w:rsid w:val="18BF29CD"/>
    <w:rsid w:val="19B80874"/>
    <w:rsid w:val="19C042B8"/>
    <w:rsid w:val="1A935EAF"/>
    <w:rsid w:val="1B0845EE"/>
    <w:rsid w:val="1C083AA3"/>
    <w:rsid w:val="1C613C7E"/>
    <w:rsid w:val="1C743A19"/>
    <w:rsid w:val="1F061311"/>
    <w:rsid w:val="1F6B19C0"/>
    <w:rsid w:val="21423E8E"/>
    <w:rsid w:val="229D5692"/>
    <w:rsid w:val="23356AAB"/>
    <w:rsid w:val="248D4246"/>
    <w:rsid w:val="25D40FE8"/>
    <w:rsid w:val="25E628C8"/>
    <w:rsid w:val="26E77D47"/>
    <w:rsid w:val="289533C2"/>
    <w:rsid w:val="28F37C87"/>
    <w:rsid w:val="29FF3EEA"/>
    <w:rsid w:val="2BC06987"/>
    <w:rsid w:val="2CFA58F7"/>
    <w:rsid w:val="2EED57D2"/>
    <w:rsid w:val="314A57BE"/>
    <w:rsid w:val="32CF230F"/>
    <w:rsid w:val="32FA0641"/>
    <w:rsid w:val="33182ED6"/>
    <w:rsid w:val="36BE28F0"/>
    <w:rsid w:val="38FF2ADB"/>
    <w:rsid w:val="392E6064"/>
    <w:rsid w:val="3BC1506C"/>
    <w:rsid w:val="3D9F0761"/>
    <w:rsid w:val="3EE31532"/>
    <w:rsid w:val="42173DE8"/>
    <w:rsid w:val="43ED3B22"/>
    <w:rsid w:val="44D14273"/>
    <w:rsid w:val="45F004A7"/>
    <w:rsid w:val="46675D07"/>
    <w:rsid w:val="468B4B88"/>
    <w:rsid w:val="47D0243D"/>
    <w:rsid w:val="48FE4EBF"/>
    <w:rsid w:val="4934562B"/>
    <w:rsid w:val="4B22539B"/>
    <w:rsid w:val="4BAB38AE"/>
    <w:rsid w:val="4C7A278B"/>
    <w:rsid w:val="4C8224DA"/>
    <w:rsid w:val="4D2D16B8"/>
    <w:rsid w:val="509A7651"/>
    <w:rsid w:val="50ED097F"/>
    <w:rsid w:val="50FB768A"/>
    <w:rsid w:val="517B0AA0"/>
    <w:rsid w:val="51B9178A"/>
    <w:rsid w:val="52746B57"/>
    <w:rsid w:val="5395549B"/>
    <w:rsid w:val="54A015B3"/>
    <w:rsid w:val="54DB7619"/>
    <w:rsid w:val="56436FA5"/>
    <w:rsid w:val="5AB5495E"/>
    <w:rsid w:val="5DC83483"/>
    <w:rsid w:val="5F990B96"/>
    <w:rsid w:val="621B5236"/>
    <w:rsid w:val="64954CB0"/>
    <w:rsid w:val="649B58C1"/>
    <w:rsid w:val="66901402"/>
    <w:rsid w:val="6721095D"/>
    <w:rsid w:val="69DF7D29"/>
    <w:rsid w:val="69F85069"/>
    <w:rsid w:val="6B117F32"/>
    <w:rsid w:val="6B7A0C3E"/>
    <w:rsid w:val="6DDE6408"/>
    <w:rsid w:val="6E693765"/>
    <w:rsid w:val="705E5BE5"/>
    <w:rsid w:val="720F41BC"/>
    <w:rsid w:val="72453D3F"/>
    <w:rsid w:val="726E7AF1"/>
    <w:rsid w:val="74F13AA4"/>
    <w:rsid w:val="76354832"/>
    <w:rsid w:val="770C691F"/>
    <w:rsid w:val="77E75703"/>
    <w:rsid w:val="783E70C2"/>
    <w:rsid w:val="78BB0213"/>
    <w:rsid w:val="7C8D4D1E"/>
    <w:rsid w:val="7D1A7378"/>
    <w:rsid w:val="7D6F0198"/>
    <w:rsid w:val="7DD2769D"/>
    <w:rsid w:val="7DE20E60"/>
    <w:rsid w:val="7DF91CDD"/>
    <w:rsid w:val="7FFE486E"/>
    <w:rsid w:val="FC2EA6D3"/>
    <w:rsid w:val="FDF7733F"/>
    <w:rsid w:val="FFB7F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9"/>
    <w:qFormat/>
    <w:uiPriority w:val="0"/>
    <w:rPr>
      <w:sz w:val="18"/>
      <w:szCs w:val="18"/>
    </w:rPr>
  </w:style>
  <w:style w:type="paragraph" w:styleId="4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555555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qFormat/>
    <w:uiPriority w:val="0"/>
  </w:style>
  <w:style w:type="character" w:styleId="16">
    <w:name w:val="HTML Variable"/>
    <w:basedOn w:val="8"/>
    <w:qFormat/>
    <w:uiPriority w:val="0"/>
  </w:style>
  <w:style w:type="character" w:styleId="17">
    <w:name w:val="Hyperlink"/>
    <w:basedOn w:val="8"/>
    <w:qFormat/>
    <w:uiPriority w:val="0"/>
    <w:rPr>
      <w:color w:val="555555"/>
      <w:u w:val="none"/>
    </w:rPr>
  </w:style>
  <w:style w:type="character" w:styleId="18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8"/>
    <w:qFormat/>
    <w:uiPriority w:val="0"/>
    <w:rPr>
      <w:color w:val="FF0000"/>
      <w:u w:val="single"/>
    </w:rPr>
  </w:style>
  <w:style w:type="character" w:styleId="20">
    <w:name w:val="HTML Keyboard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22">
    <w:name w:val="bds_more2"/>
    <w:basedOn w:val="8"/>
    <w:qFormat/>
    <w:uiPriority w:val="0"/>
  </w:style>
  <w:style w:type="character" w:customStyle="1" w:styleId="23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right5"/>
    <w:basedOn w:val="8"/>
    <w:qFormat/>
    <w:uiPriority w:val="0"/>
  </w:style>
  <w:style w:type="character" w:customStyle="1" w:styleId="25">
    <w:name w:val="right6"/>
    <w:basedOn w:val="8"/>
    <w:qFormat/>
    <w:uiPriority w:val="0"/>
  </w:style>
  <w:style w:type="character" w:customStyle="1" w:styleId="26">
    <w:name w:val="bds_nopic2"/>
    <w:basedOn w:val="8"/>
    <w:qFormat/>
    <w:uiPriority w:val="0"/>
  </w:style>
  <w:style w:type="character" w:customStyle="1" w:styleId="27">
    <w:name w:val="bds_nopic1"/>
    <w:basedOn w:val="8"/>
    <w:qFormat/>
    <w:uiPriority w:val="0"/>
  </w:style>
  <w:style w:type="character" w:customStyle="1" w:styleId="28">
    <w:name w:val="retractmanager"/>
    <w:basedOn w:val="8"/>
    <w:qFormat/>
    <w:uiPriority w:val="0"/>
    <w:rPr>
      <w:color w:val="FF002A"/>
    </w:rPr>
  </w:style>
  <w:style w:type="character" w:customStyle="1" w:styleId="2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30">
    <w:name w:val="bds_more"/>
    <w:basedOn w:val="8"/>
    <w:qFormat/>
    <w:uiPriority w:val="0"/>
  </w:style>
  <w:style w:type="character" w:customStyle="1" w:styleId="31">
    <w:name w:val="displaycontent"/>
    <w:basedOn w:val="8"/>
    <w:qFormat/>
    <w:uiPriority w:val="0"/>
    <w:rPr>
      <w:color w:val="FF002A"/>
    </w:rPr>
  </w:style>
  <w:style w:type="character" w:customStyle="1" w:styleId="32">
    <w:name w:val="bds_nopic"/>
    <w:basedOn w:val="8"/>
    <w:qFormat/>
    <w:uiPriority w:val="0"/>
  </w:style>
  <w:style w:type="character" w:customStyle="1" w:styleId="33">
    <w:name w:val="mk5_wzstyle"/>
    <w:basedOn w:val="8"/>
    <w:qFormat/>
    <w:uiPriority w:val="0"/>
  </w:style>
  <w:style w:type="character" w:customStyle="1" w:styleId="34">
    <w:name w:val="hover17"/>
    <w:basedOn w:val="8"/>
    <w:qFormat/>
    <w:uiPriority w:val="0"/>
  </w:style>
  <w:style w:type="character" w:customStyle="1" w:styleId="35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36">
    <w:name w:val="size"/>
    <w:basedOn w:val="8"/>
    <w:qFormat/>
    <w:uiPriority w:val="0"/>
  </w:style>
  <w:style w:type="character" w:customStyle="1" w:styleId="37">
    <w:name w:val="p12_blue"/>
    <w:basedOn w:val="8"/>
    <w:qFormat/>
    <w:uiPriority w:val="0"/>
  </w:style>
  <w:style w:type="character" w:customStyle="1" w:styleId="38">
    <w:name w:val="bsharetext"/>
    <w:basedOn w:val="8"/>
    <w:qFormat/>
    <w:uiPriority w:val="0"/>
  </w:style>
  <w:style w:type="character" w:customStyle="1" w:styleId="39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40">
    <w:name w:val="普通(网站)1"/>
    <w:basedOn w:val="1"/>
    <w:qFormat/>
    <w:uiPriority w:val="0"/>
    <w:pPr>
      <w:jc w:val="left"/>
    </w:pPr>
    <w:rPr>
      <w:rFonts w:hint="eastAsia"/>
      <w:sz w:val="24"/>
    </w:rPr>
  </w:style>
  <w:style w:type="paragraph" w:customStyle="1" w:styleId="41">
    <w:name w:val="Char"/>
    <w:basedOn w:val="1"/>
    <w:qFormat/>
    <w:uiPriority w:val="0"/>
    <w:pPr>
      <w:widowControl/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2840</Words>
  <Characters>3103</Characters>
  <Lines>22</Lines>
  <Paragraphs>6</Paragraphs>
  <TotalTime>2</TotalTime>
  <ScaleCrop>false</ScaleCrop>
  <LinksUpToDate>false</LinksUpToDate>
  <CharactersWithSpaces>3111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2021-03-08T10:17:00Z</dcterms:created>
  <dc:creator>高立朝 10.104.97.45</dc:creator>
  <cp:lastModifiedBy>greatwall</cp:lastModifiedBy>
  <cp:lastPrinted>2021-03-07T09:56:00Z</cp:lastPrinted>
  <dcterms:modified xsi:type="dcterms:W3CDTF">2022-09-23T19:33:14Z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62F9A31A2593462290375C399555F11C</vt:lpwstr>
  </property>
</Properties>
</file>