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rPr>
      </w:pPr>
      <w:r>
        <w:rPr>
          <w:rFonts w:hint="eastAsia" w:cs="宋体"/>
          <w:b/>
          <w:bCs/>
          <w:sz w:val="44"/>
          <w:szCs w:val="44"/>
          <w:shd w:val="clear" w:color="auto" w:fill="FFFFFF"/>
        </w:rPr>
        <w:t>2020年度</w:t>
      </w:r>
    </w:p>
    <w:p>
      <w:pPr>
        <w:pStyle w:val="13"/>
        <w:spacing w:before="0" w:beforeAutospacing="0"/>
        <w:jc w:val="center"/>
        <w:rPr>
          <w:shd w:val="clear" w:color="auto" w:fill="FFFFFF"/>
        </w:rPr>
      </w:pPr>
      <w:r>
        <w:rPr>
          <w:rFonts w:hint="eastAsia" w:cs="宋体"/>
          <w:b/>
          <w:bCs/>
          <w:sz w:val="44"/>
          <w:szCs w:val="44"/>
          <w:shd w:val="clear" w:color="auto" w:fill="FFFFFF"/>
          <w:lang w:eastAsia="zh-CN"/>
        </w:rPr>
        <w:t>双峰县</w:t>
      </w:r>
      <w:r>
        <w:rPr>
          <w:rFonts w:hint="eastAsia" w:cs="宋体"/>
          <w:b/>
          <w:bCs/>
          <w:sz w:val="44"/>
          <w:szCs w:val="44"/>
          <w:shd w:val="clear" w:color="auto" w:fill="FFFFFF"/>
        </w:rPr>
        <w:t>人民检察院部门决算</w:t>
      </w:r>
    </w:p>
    <w:p>
      <w:pPr>
        <w:pStyle w:val="13"/>
        <w:spacing w:before="0" w:beforeAutospacing="0"/>
        <w:jc w:val="center"/>
        <w:rPr>
          <w:shd w:val="clear" w:color="auto" w:fill="FFFFFF"/>
        </w:rPr>
      </w:pPr>
    </w:p>
    <w:p>
      <w:pPr>
        <w:pStyle w:val="13"/>
        <w:adjustRightInd w:val="0"/>
        <w:snapToGrid w:val="0"/>
        <w:spacing w:before="0" w:beforeAutospacing="0" w:line="580" w:lineRule="exact"/>
        <w:jc w:val="center"/>
        <w:rPr>
          <w:b/>
          <w:bCs/>
          <w:sz w:val="32"/>
          <w:szCs w:val="32"/>
          <w:shd w:val="clear" w:color="auto" w:fill="FFFFFF"/>
        </w:rPr>
      </w:pPr>
    </w:p>
    <w:p>
      <w:pPr>
        <w:pStyle w:val="13"/>
        <w:adjustRightInd w:val="0"/>
        <w:snapToGrid w:val="0"/>
        <w:spacing w:before="0" w:beforeAutospacing="0" w:line="580" w:lineRule="exact"/>
        <w:jc w:val="center"/>
        <w:rPr>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15" w:h="16851"/>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30"/>
        <w:snapToGrid w:val="0"/>
        <w:spacing w:line="580" w:lineRule="exact"/>
        <w:jc w:val="center"/>
        <w:rPr>
          <w:sz w:val="36"/>
          <w:szCs w:val="28"/>
        </w:rPr>
      </w:pPr>
      <w:r>
        <w:rPr>
          <w:rFonts w:hint="eastAsia"/>
          <w:sz w:val="36"/>
          <w:szCs w:val="28"/>
        </w:rPr>
        <w:t>目录</w:t>
      </w:r>
    </w:p>
    <w:p>
      <w:pPr>
        <w:pStyle w:val="30"/>
        <w:snapToGrid w:val="0"/>
        <w:spacing w:line="580" w:lineRule="exact"/>
        <w:ind w:firstLine="560" w:firstLineChars="200"/>
        <w:rPr>
          <w:rFonts w:ascii="仿宋_GB2312" w:hAnsi="仿宋_GB2312" w:cs="仿宋_GB2312"/>
          <w:sz w:val="28"/>
          <w:szCs w:val="28"/>
        </w:rPr>
      </w:pPr>
      <w:r>
        <w:rPr>
          <w:rFonts w:hint="eastAsia"/>
          <w:sz w:val="28"/>
          <w:szCs w:val="28"/>
        </w:rPr>
        <w:t>第一部分</w:t>
      </w:r>
      <w:r>
        <w:rPr>
          <w:rFonts w:hint="eastAsia"/>
          <w:sz w:val="28"/>
          <w:szCs w:val="28"/>
          <w:lang w:eastAsia="zh-CN"/>
        </w:rPr>
        <w:t>双峰县</w:t>
      </w:r>
      <w:r>
        <w:rPr>
          <w:rFonts w:hint="eastAsia"/>
          <w:sz w:val="28"/>
          <w:szCs w:val="28"/>
        </w:rPr>
        <w:t>人民检察院概况</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一、部门职责</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二、机构设置</w:t>
      </w:r>
    </w:p>
    <w:p>
      <w:pPr>
        <w:pStyle w:val="30"/>
        <w:snapToGrid w:val="0"/>
        <w:spacing w:line="580" w:lineRule="exact"/>
        <w:ind w:firstLine="560" w:firstLineChars="200"/>
        <w:rPr>
          <w:rFonts w:ascii="仿宋_GB2312" w:hAnsi="仿宋_GB2312" w:cs="仿宋_GB2312"/>
          <w:sz w:val="28"/>
          <w:szCs w:val="28"/>
        </w:rPr>
      </w:pPr>
      <w:r>
        <w:rPr>
          <w:rFonts w:hint="eastAsia" w:hAnsi="仿宋_GB2312"/>
          <w:sz w:val="28"/>
          <w:szCs w:val="28"/>
        </w:rPr>
        <w:t>第二部分</w:t>
      </w:r>
      <w:r>
        <w:rPr>
          <w:rFonts w:hAnsi="仿宋_GB2312"/>
          <w:sz w:val="28"/>
          <w:szCs w:val="28"/>
        </w:rPr>
        <w:t>20</w:t>
      </w:r>
      <w:r>
        <w:rPr>
          <w:rFonts w:hint="eastAsia" w:hAnsi="仿宋_GB2312"/>
          <w:sz w:val="28"/>
          <w:szCs w:val="28"/>
        </w:rPr>
        <w:t>20年度部门决算表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一、收入支出决算总表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二、收入决算表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三、支出决算表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四、财政拨款收入支出决算总表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五、一般公共预算财政拨款支出决算表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六、一般公共预算财政拨款基本支出决算表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七、一般公共预算财政拨款“三公”经费支出决算表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八、政府性基金预算财政拨款收入支出决算表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九、国有资本经营预算财政拨款支出决算表</w:t>
      </w:r>
    </w:p>
    <w:p>
      <w:pPr>
        <w:pStyle w:val="30"/>
        <w:snapToGrid w:val="0"/>
        <w:spacing w:line="580" w:lineRule="exact"/>
        <w:ind w:firstLine="560" w:firstLineChars="200"/>
        <w:rPr>
          <w:rFonts w:ascii="仿宋_GB2312" w:hAnsi="仿宋_GB2312" w:cs="仿宋_GB2312"/>
          <w:sz w:val="28"/>
          <w:szCs w:val="28"/>
        </w:rPr>
      </w:pPr>
      <w:r>
        <w:rPr>
          <w:rFonts w:hint="eastAsia" w:hAnsi="仿宋_GB2312"/>
          <w:sz w:val="28"/>
          <w:szCs w:val="28"/>
        </w:rPr>
        <w:t>第三部分</w:t>
      </w:r>
      <w:r>
        <w:rPr>
          <w:rFonts w:hAnsi="仿宋_GB2312"/>
          <w:sz w:val="28"/>
          <w:szCs w:val="28"/>
        </w:rPr>
        <w:t>20</w:t>
      </w:r>
      <w:r>
        <w:rPr>
          <w:rFonts w:hint="eastAsia" w:hAnsi="仿宋_GB2312"/>
          <w:sz w:val="28"/>
          <w:szCs w:val="28"/>
        </w:rPr>
        <w:t>20年度部门决算情况说明</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一、收入支出决算总体情况说明</w:t>
      </w:r>
    </w:p>
    <w:p>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四、财政拨款收入支出决算总体情况说明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五、一般公共预算财政拨款支出决算情况说明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六、一般公共预算财政拨款基本支出决算情况说明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七、一般公共预算财政拨款三公经费支出决算情况说明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八、政府性基金预算收入支出决算情况</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九、关于机关运行经费支出说明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十、一般性支出情况</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十一、关于政府采购支出说明</w:t>
      </w:r>
    </w:p>
    <w:p>
      <w:pPr>
        <w:pStyle w:val="3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3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十三、关</w:t>
      </w:r>
      <w:r>
        <w:rPr>
          <w:rFonts w:hint="eastAsia" w:ascii="仿宋_GB2312" w:eastAsia="仿宋_GB2312" w:cs="仿宋_GB2312" w:hAnsiTheme="minorEastAsia"/>
          <w:sz w:val="28"/>
          <w:szCs w:val="28"/>
        </w:rPr>
        <w:t>于2020年</w:t>
      </w:r>
      <w:r>
        <w:rPr>
          <w:rFonts w:hint="eastAsia" w:ascii="仿宋_GB2312" w:hAnsi="仿宋_GB2312" w:eastAsia="仿宋_GB2312" w:cs="仿宋_GB2312"/>
          <w:sz w:val="28"/>
          <w:szCs w:val="28"/>
        </w:rPr>
        <w:t>度预算绩效情况的说明</w:t>
      </w:r>
    </w:p>
    <w:p>
      <w:pPr>
        <w:autoSpaceDE w:val="0"/>
        <w:autoSpaceDN w:val="0"/>
        <w:adjustRightInd w:val="0"/>
        <w:snapToGrid w:val="0"/>
        <w:spacing w:line="580" w:lineRule="exact"/>
        <w:ind w:firstLine="560" w:firstLineChars="200"/>
        <w:rPr>
          <w:rFonts w:ascii="黑体" w:hAnsi="黑体" w:eastAsia="黑体" w:cs="黑体"/>
          <w:color w:val="000000"/>
          <w:sz w:val="28"/>
          <w:szCs w:val="28"/>
        </w:rPr>
      </w:pPr>
      <w:r>
        <w:rPr>
          <w:rFonts w:ascii="黑体" w:hAnsi="黑体" w:eastAsia="黑体" w:cs="黑体"/>
          <w:color w:val="000000"/>
          <w:sz w:val="28"/>
          <w:szCs w:val="28"/>
        </w:rPr>
        <w:t>第四部分名词解释</w:t>
      </w:r>
    </w:p>
    <w:p>
      <w:pPr>
        <w:autoSpaceDE w:val="0"/>
        <w:autoSpaceDN w:val="0"/>
        <w:adjustRightInd w:val="0"/>
        <w:snapToGrid w:val="0"/>
        <w:spacing w:line="580" w:lineRule="exac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第五部分附件</w:t>
      </w:r>
    </w:p>
    <w:p>
      <w:pPr>
        <w:pStyle w:val="13"/>
        <w:spacing w:before="0" w:beforeAutospacing="0"/>
        <w:jc w:val="center"/>
        <w:rPr>
          <w:shd w:val="clear" w:color="auto" w:fill="FFFFFF"/>
        </w:rPr>
        <w:sectPr>
          <w:footerReference r:id="rId9" w:type="default"/>
          <w:pgSz w:w="11915" w:h="16851"/>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13"/>
        <w:adjustRightInd w:val="0"/>
        <w:snapToGrid w:val="0"/>
        <w:spacing w:before="0" w:beforeAutospacing="0" w:after="0" w:afterAutospacing="0" w:line="560" w:lineRule="exact"/>
        <w:ind w:firstLine="880" w:firstLineChars="200"/>
        <w:jc w:val="center"/>
        <w:outlineLvl w:val="0"/>
        <w:rPr>
          <w:rFonts w:ascii="黑体" w:hAnsi="黑体" w:eastAsia="黑体" w:cs="黑体"/>
          <w:sz w:val="32"/>
          <w:szCs w:val="32"/>
          <w:shd w:val="clear" w:color="auto" w:fill="FFFFFF"/>
        </w:rPr>
      </w:pPr>
      <w:bookmarkStart w:id="0" w:name="_Toc6365"/>
      <w:r>
        <w:rPr>
          <w:rFonts w:hint="eastAsia" w:ascii="黑体" w:hAnsi="黑体" w:eastAsia="黑体" w:cs="黑体"/>
          <w:sz w:val="44"/>
          <w:szCs w:val="44"/>
          <w:shd w:val="clear" w:color="auto" w:fill="FFFFFF"/>
        </w:rPr>
        <w:t xml:space="preserve">第一部分 </w:t>
      </w:r>
      <w:r>
        <w:rPr>
          <w:rFonts w:hint="eastAsia" w:ascii="黑体" w:hAnsi="黑体" w:eastAsia="黑体" w:cs="黑体"/>
          <w:sz w:val="44"/>
          <w:szCs w:val="44"/>
          <w:shd w:val="clear" w:color="auto" w:fill="FFFFFF"/>
          <w:lang w:eastAsia="zh-CN"/>
        </w:rPr>
        <w:t>双峰县</w:t>
      </w:r>
      <w:r>
        <w:rPr>
          <w:rFonts w:hint="eastAsia" w:ascii="黑体" w:hAnsi="黑体" w:eastAsia="黑体" w:cs="黑体"/>
          <w:sz w:val="44"/>
          <w:szCs w:val="44"/>
          <w:shd w:val="clear" w:color="auto" w:fill="FFFFFF"/>
        </w:rPr>
        <w:t>人民检察院概况</w:t>
      </w:r>
      <w:bookmarkEnd w:id="0"/>
    </w:p>
    <w:p>
      <w:pPr>
        <w:pStyle w:val="13"/>
        <w:adjustRightInd w:val="0"/>
        <w:snapToGrid w:val="0"/>
        <w:spacing w:before="0" w:beforeAutospacing="0" w:after="0" w:afterAutospacing="0" w:line="560" w:lineRule="exact"/>
        <w:ind w:left="480" w:leftChars="200"/>
        <w:outlineLvl w:val="1"/>
        <w:rPr>
          <w:rFonts w:ascii="楷体_GB2312" w:hAnsi="楷体" w:eastAsia="楷体_GB2312" w:cs="楷体"/>
          <w:b/>
          <w:bCs/>
          <w:sz w:val="32"/>
          <w:szCs w:val="32"/>
          <w:shd w:val="clear" w:color="auto" w:fill="FFFFFF"/>
        </w:rPr>
      </w:pPr>
      <w:bookmarkStart w:id="1" w:name="_Toc26770"/>
      <w:bookmarkStart w:id="2" w:name="_Toc4526"/>
      <w:r>
        <w:rPr>
          <w:rFonts w:hint="eastAsia" w:ascii="楷体_GB2312" w:hAnsi="楷体" w:eastAsia="楷体_GB2312" w:cs="楷体"/>
          <w:sz w:val="32"/>
          <w:szCs w:val="32"/>
          <w:shd w:val="clear" w:color="auto" w:fill="FFFFFF"/>
        </w:rPr>
        <w:t>一、部门职责</w:t>
      </w:r>
      <w:bookmarkEnd w:id="1"/>
      <w:bookmarkEnd w:id="2"/>
    </w:p>
    <w:p>
      <w:pPr>
        <w:ind w:firstLine="640" w:firstLineChars="200"/>
        <w:rPr>
          <w:rFonts w:hint="eastAsia" w:ascii="仿宋" w:hAnsi="仿宋" w:eastAsia="仿宋"/>
          <w:sz w:val="32"/>
          <w:szCs w:val="32"/>
          <w:lang w:eastAsia="zh-CN"/>
        </w:rPr>
      </w:pPr>
      <w:r>
        <w:rPr>
          <w:rFonts w:hint="eastAsia" w:ascii="仿宋" w:hAnsi="仿宋" w:eastAsia="仿宋"/>
          <w:sz w:val="32"/>
          <w:szCs w:val="32"/>
        </w:rPr>
        <w:t>双峰县人民检察院是国家的法律监督机关，接受上级人民检察院的领导，对县人民代表大会及其常务委员会负责并报告工作。其主要职责是</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(一)深入贯彻习近平新时代中国特色社会主义思想，深入贯彻党的路线方针政策和决策部署，坚持党对检察工作的绝对领导，坚决维护习近平总书记的核心地位，坚决维护党中央权威和集中统一领导</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(二)贯彻落实上</w:t>
      </w:r>
      <w:r>
        <w:rPr>
          <w:rFonts w:hint="eastAsia" w:ascii="仿宋" w:hAnsi="仿宋" w:eastAsia="仿宋"/>
          <w:sz w:val="32"/>
          <w:szCs w:val="32"/>
          <w:lang w:eastAsia="zh-CN"/>
        </w:rPr>
        <w:t>级</w:t>
      </w:r>
      <w:r>
        <w:rPr>
          <w:rFonts w:hint="eastAsia" w:ascii="仿宋" w:hAnsi="仿宋" w:eastAsia="仿宋"/>
          <w:sz w:val="32"/>
          <w:szCs w:val="32"/>
        </w:rPr>
        <w:t>人民检察院的各项工作部署，研究制定检察工作规划，部署检察工作任务</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(三)依照法律规定对由县人民检察院直接受理的刑事案件行使侦查权</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四)对刑事案件依法审査批准逮捕、决定逮捕、提起公诉。</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(五)负责应由县人民检察院承办的刑事、民事、行政诉讼活动及刑事、民事、行政判决和裁定等生效法律文书执行的法律监督工作</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(六)负责应由县人民检察院承办的提起公益诉讼工作</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(七)负责应由县人民检察院承办的对看守所、社区矫正机构等执法活动的法律监督工作</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(八)受理向县人民检察院的控告申诉</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(九)负责检察机关的理论研究工作</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(十)负责检察机关队伍建设和思想政治工作</w:t>
      </w:r>
    </w:p>
    <w:p>
      <w:pPr>
        <w:ind w:firstLine="640" w:firstLineChars="200"/>
        <w:rPr>
          <w:rFonts w:hint="eastAsia" w:ascii="仿宋" w:hAnsi="仿宋" w:eastAsia="仿宋"/>
          <w:sz w:val="32"/>
          <w:szCs w:val="32"/>
        </w:rPr>
      </w:pPr>
      <w:r>
        <w:rPr>
          <w:rFonts w:hint="eastAsia" w:ascii="仿宋" w:hAnsi="仿宋" w:eastAsia="仿宋"/>
          <w:sz w:val="32"/>
          <w:szCs w:val="32"/>
        </w:rPr>
        <w:t>(十一)负责检务督察工作。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(十二)负责检察机关财物装备和检察技术信息工作</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(十三)负责其他应当由县人民检察院承办的事项</w:t>
      </w:r>
      <w:r>
        <w:rPr>
          <w:rFonts w:hint="eastAsia" w:ascii="仿宋" w:hAnsi="仿宋" w:eastAsia="仿宋"/>
          <w:sz w:val="32"/>
          <w:szCs w:val="32"/>
          <w:lang w:eastAsia="zh-CN"/>
        </w:rPr>
        <w:t>。</w:t>
      </w:r>
    </w:p>
    <w:p>
      <w:pPr>
        <w:pStyle w:val="13"/>
        <w:adjustRightInd w:val="0"/>
        <w:snapToGrid w:val="0"/>
        <w:spacing w:before="0" w:beforeAutospacing="0" w:after="0" w:afterAutospacing="0" w:line="560" w:lineRule="exact"/>
        <w:ind w:firstLine="640" w:firstLineChars="200"/>
        <w:outlineLvl w:val="1"/>
        <w:rPr>
          <w:rFonts w:ascii="楷体_GB2312" w:hAnsi="黑体" w:eastAsia="楷体_GB2312" w:cs="黑体"/>
          <w:sz w:val="32"/>
          <w:szCs w:val="32"/>
        </w:rPr>
      </w:pPr>
      <w:bookmarkStart w:id="3" w:name="_Toc27540"/>
      <w:bookmarkStart w:id="4" w:name="_Toc647"/>
      <w:r>
        <w:rPr>
          <w:rFonts w:hint="eastAsia" w:ascii="楷体_GB2312" w:hAnsi="楷体" w:eastAsia="楷体_GB2312" w:cs="楷体"/>
          <w:sz w:val="32"/>
          <w:szCs w:val="32"/>
          <w:shd w:val="clear" w:color="auto" w:fill="FFFFFF"/>
          <w:lang w:val="en-US" w:eastAsia="zh-CN"/>
        </w:rPr>
        <w:t>4</w:t>
      </w:r>
      <w:r>
        <w:rPr>
          <w:rFonts w:hint="eastAsia" w:ascii="楷体_GB2312" w:hAnsi="楷体" w:eastAsia="楷体_GB2312" w:cs="楷体"/>
          <w:sz w:val="32"/>
          <w:szCs w:val="32"/>
          <w:shd w:val="clear" w:color="auto" w:fill="FFFFFF"/>
        </w:rPr>
        <w:t>二、机构设置</w:t>
      </w:r>
      <w:bookmarkEnd w:id="3"/>
      <w:bookmarkEnd w:id="4"/>
    </w:p>
    <w:p>
      <w:pPr>
        <w:adjustRightInd w:val="0"/>
        <w:snapToGrid w:val="0"/>
        <w:spacing w:line="560" w:lineRule="exact"/>
        <w:ind w:firstLine="640" w:firstLineChars="200"/>
        <w:rPr>
          <w:rFonts w:ascii="楷体_GB2312" w:hAnsi="楷体" w:eastAsia="楷体_GB2312" w:cs="楷体"/>
          <w:sz w:val="32"/>
          <w:szCs w:val="32"/>
          <w:shd w:val="clear" w:color="auto" w:fill="FFFFFF"/>
        </w:rPr>
      </w:pPr>
      <w:r>
        <w:rPr>
          <w:rFonts w:hint="eastAsia" w:ascii="楷体_GB2312" w:hAnsi="楷体" w:eastAsia="楷体_GB2312" w:cs="楷体"/>
          <w:sz w:val="32"/>
          <w:szCs w:val="32"/>
          <w:shd w:val="clear" w:color="auto" w:fill="FFFFFF"/>
        </w:rPr>
        <w:t>（一）内设机构设置。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双峰县</w:t>
      </w:r>
      <w:r>
        <w:rPr>
          <w:rFonts w:hint="eastAsia" w:ascii="仿宋_GB2312" w:eastAsia="仿宋_GB2312"/>
          <w:sz w:val="32"/>
          <w:szCs w:val="32"/>
        </w:rPr>
        <w:t>人民检察院现有</w:t>
      </w:r>
      <w:r>
        <w:rPr>
          <w:rFonts w:hint="eastAsia" w:ascii="仿宋_GB2312" w:eastAsia="仿宋_GB2312"/>
          <w:sz w:val="32"/>
          <w:szCs w:val="32"/>
          <w:lang w:val="en-US" w:eastAsia="zh-CN"/>
        </w:rPr>
        <w:t>8</w:t>
      </w:r>
      <w:r>
        <w:rPr>
          <w:rFonts w:hint="eastAsia" w:ascii="仿宋_GB2312" w:eastAsia="仿宋_GB2312"/>
          <w:sz w:val="32"/>
          <w:szCs w:val="32"/>
        </w:rPr>
        <w:t>个内设机构，分别为：</w:t>
      </w:r>
      <w:r>
        <w:rPr>
          <w:rFonts w:ascii="仿宋_GB2312" w:eastAsia="仿宋_GB2312"/>
          <w:sz w:val="32"/>
          <w:szCs w:val="32"/>
        </w:rPr>
        <w:t>办公室、第一检察部、第二检察部、第三检察部、第四检察部、第五检察部、第六检察部、</w:t>
      </w:r>
      <w:r>
        <w:rPr>
          <w:rFonts w:hint="eastAsia" w:ascii="仿宋" w:hAnsi="仿宋" w:eastAsia="仿宋"/>
          <w:sz w:val="32"/>
          <w:szCs w:val="32"/>
        </w:rPr>
        <w:t>政治部(司法警察大队)</w:t>
      </w:r>
      <w:r>
        <w:rPr>
          <w:rFonts w:ascii="仿宋_GB2312" w:eastAsia="仿宋_GB2312"/>
          <w:sz w:val="32"/>
          <w:szCs w:val="32"/>
        </w:rPr>
        <w:t>。</w:t>
      </w:r>
    </w:p>
    <w:p>
      <w:pPr>
        <w:adjustRightInd w:val="0"/>
        <w:snapToGrid w:val="0"/>
        <w:spacing w:line="560" w:lineRule="exact"/>
        <w:ind w:firstLine="640" w:firstLineChars="200"/>
        <w:rPr>
          <w:rFonts w:ascii="楷体_GB2312" w:hAnsi="楷体" w:eastAsia="楷体_GB2312" w:cs="楷体"/>
          <w:sz w:val="32"/>
          <w:szCs w:val="32"/>
          <w:shd w:val="clear" w:color="auto" w:fill="FFFFFF"/>
        </w:rPr>
      </w:pPr>
      <w:r>
        <w:rPr>
          <w:rFonts w:hint="eastAsia" w:ascii="楷体_GB2312" w:hAnsi="楷体" w:eastAsia="楷体_GB2312" w:cs="楷体"/>
          <w:sz w:val="32"/>
          <w:szCs w:val="32"/>
          <w:shd w:val="clear" w:color="auto" w:fill="FFFFFF"/>
        </w:rPr>
        <w:t>（二）决算单位构成。</w:t>
      </w:r>
    </w:p>
    <w:p>
      <w:pPr>
        <w:adjustRightInd w:val="0"/>
        <w:snapToGrid w:val="0"/>
        <w:spacing w:line="560" w:lineRule="exact"/>
        <w:ind w:firstLine="640" w:firstLineChars="200"/>
        <w:rPr>
          <w:rStyle w:val="16"/>
          <w:shd w:val="clear" w:color="auto" w:fill="FFFFFF"/>
        </w:rPr>
      </w:pPr>
      <w:r>
        <w:rPr>
          <w:rFonts w:hint="eastAsia" w:ascii="仿宋_GB2312" w:eastAsia="仿宋_GB2312"/>
          <w:sz w:val="32"/>
          <w:szCs w:val="32"/>
          <w:lang w:eastAsia="zh-CN"/>
        </w:rPr>
        <w:t>双峰县</w:t>
      </w:r>
      <w:r>
        <w:rPr>
          <w:rFonts w:hint="eastAsia" w:ascii="仿宋_GB2312" w:eastAsia="仿宋_GB2312"/>
          <w:sz w:val="32"/>
          <w:szCs w:val="32"/>
        </w:rPr>
        <w:t>人民检察院2020年部门决算包含的主体范围是机关本级。</w:t>
      </w:r>
    </w:p>
    <w:p>
      <w:pPr>
        <w:rPr>
          <w:rStyle w:val="16"/>
          <w:rFonts w:ascii="黑体" w:hAnsi="黑体" w:eastAsia="黑体" w:cs="黑体"/>
          <w:sz w:val="44"/>
          <w:szCs w:val="44"/>
          <w:shd w:val="clear" w:color="auto" w:fill="FFFFFF"/>
        </w:rPr>
      </w:pPr>
      <w:bookmarkStart w:id="5" w:name="_Toc30556"/>
      <w:r>
        <w:rPr>
          <w:rStyle w:val="16"/>
          <w:rFonts w:ascii="黑体" w:hAnsi="黑体" w:eastAsia="黑体" w:cs="黑体"/>
          <w:sz w:val="44"/>
          <w:szCs w:val="44"/>
          <w:shd w:val="clear" w:color="auto" w:fill="FFFFFF"/>
        </w:rPr>
        <w:br w:type="page"/>
      </w:r>
    </w:p>
    <w:p>
      <w:pPr>
        <w:pStyle w:val="13"/>
        <w:adjustRightInd w:val="0"/>
        <w:snapToGrid w:val="0"/>
        <w:spacing w:before="0" w:beforeAutospacing="0" w:after="0" w:afterAutospacing="0" w:line="560" w:lineRule="exact"/>
        <w:ind w:firstLine="880" w:firstLineChars="200"/>
        <w:jc w:val="center"/>
        <w:outlineLvl w:val="0"/>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lang w:eastAsia="zh-CN"/>
        </w:rPr>
        <w:t>第二部分</w:t>
      </w:r>
      <w:r>
        <w:rPr>
          <w:rFonts w:hint="eastAsia" w:ascii="黑体" w:hAnsi="黑体" w:eastAsia="黑体" w:cs="黑体"/>
          <w:sz w:val="44"/>
          <w:szCs w:val="44"/>
          <w:shd w:val="clear" w:color="auto" w:fill="FFFFFF"/>
        </w:rPr>
        <w:t>2020年度部门决算表</w:t>
      </w:r>
      <w:bookmarkEnd w:id="5"/>
    </w:p>
    <w:p>
      <w:pPr>
        <w:textAlignment w:val="center"/>
        <w:rPr>
          <w:rFonts w:hint="eastAsia" w:ascii="楷体_GB2312" w:hAnsi="楷体" w:eastAsia="楷体_GB2312" w:cs="楷体"/>
          <w:sz w:val="32"/>
          <w:szCs w:val="32"/>
          <w:shd w:val="clear" w:color="auto" w:fill="FFFFFF"/>
        </w:rPr>
      </w:pPr>
      <w:r>
        <w:rPr>
          <w:rFonts w:hint="eastAsia" w:ascii="楷体_GB2312" w:hAnsi="楷体" w:eastAsia="楷体_GB2312" w:cs="楷体"/>
          <w:sz w:val="32"/>
          <w:szCs w:val="32"/>
          <w:shd w:val="clear" w:color="auto" w:fill="FFFFFF"/>
        </w:rPr>
        <w:t>一、收入支出决算总表</w:t>
      </w:r>
    </w:p>
    <w:tbl>
      <w:tblPr>
        <w:tblStyle w:val="14"/>
        <w:tblpPr w:leftFromText="180" w:rightFromText="180" w:vertAnchor="text" w:horzAnchor="page" w:tblpX="1241" w:tblpY="648"/>
        <w:tblOverlap w:val="never"/>
        <w:tblW w:w="9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40"/>
        <w:gridCol w:w="735"/>
        <w:gridCol w:w="1320"/>
        <w:gridCol w:w="2340"/>
        <w:gridCol w:w="73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shd w:val="clear" w:color="auto" w:fill="FFFFFF"/>
            <w:vAlign w:val="center"/>
          </w:tcPr>
          <w:p>
            <w:pPr>
              <w:jc w:val="left"/>
              <w:rPr>
                <w:rFonts w:hint="eastAsia" w:ascii="宋体" w:hAnsi="宋体" w:eastAsia="宋体" w:cs="宋体"/>
                <w:i w:val="0"/>
                <w:color w:val="000000"/>
                <w:sz w:val="18"/>
                <w:szCs w:val="18"/>
                <w:u w:val="none"/>
              </w:rPr>
            </w:pPr>
          </w:p>
        </w:tc>
        <w:tc>
          <w:tcPr>
            <w:tcW w:w="735" w:type="dxa"/>
            <w:shd w:val="clear" w:color="auto" w:fill="FFFFFF"/>
            <w:vAlign w:val="center"/>
          </w:tcPr>
          <w:p>
            <w:pPr>
              <w:jc w:val="left"/>
              <w:rPr>
                <w:rFonts w:hint="eastAsia" w:ascii="宋体" w:hAnsi="宋体" w:eastAsia="宋体" w:cs="宋体"/>
                <w:i w:val="0"/>
                <w:color w:val="000000"/>
                <w:sz w:val="18"/>
                <w:szCs w:val="18"/>
                <w:u w:val="none"/>
              </w:rPr>
            </w:pPr>
          </w:p>
        </w:tc>
        <w:tc>
          <w:tcPr>
            <w:tcW w:w="1320" w:type="dxa"/>
            <w:shd w:val="clear" w:color="auto" w:fill="FFFFFF"/>
            <w:vAlign w:val="center"/>
          </w:tcPr>
          <w:p>
            <w:pPr>
              <w:jc w:val="left"/>
              <w:rPr>
                <w:rFonts w:hint="eastAsia" w:ascii="宋体" w:hAnsi="宋体" w:eastAsia="宋体" w:cs="宋体"/>
                <w:i w:val="0"/>
                <w:color w:val="000000"/>
                <w:sz w:val="18"/>
                <w:szCs w:val="18"/>
                <w:u w:val="none"/>
              </w:rPr>
            </w:pPr>
          </w:p>
        </w:tc>
        <w:tc>
          <w:tcPr>
            <w:tcW w:w="2340" w:type="dxa"/>
            <w:shd w:val="clear" w:color="auto" w:fill="FFFFFF"/>
            <w:vAlign w:val="center"/>
          </w:tcPr>
          <w:p>
            <w:pPr>
              <w:jc w:val="left"/>
              <w:rPr>
                <w:rFonts w:hint="eastAsia" w:ascii="宋体" w:hAnsi="宋体" w:eastAsia="宋体" w:cs="宋体"/>
                <w:i w:val="0"/>
                <w:color w:val="000000"/>
                <w:sz w:val="18"/>
                <w:szCs w:val="18"/>
                <w:u w:val="none"/>
              </w:rPr>
            </w:pPr>
          </w:p>
        </w:tc>
        <w:tc>
          <w:tcPr>
            <w:tcW w:w="735" w:type="dxa"/>
            <w:shd w:val="clear" w:color="auto" w:fill="FFFFFF"/>
            <w:vAlign w:val="center"/>
          </w:tcPr>
          <w:p>
            <w:pPr>
              <w:jc w:val="left"/>
              <w:rPr>
                <w:rFonts w:hint="eastAsia" w:ascii="宋体" w:hAnsi="宋体" w:eastAsia="宋体" w:cs="宋体"/>
                <w:i w:val="0"/>
                <w:color w:val="000000"/>
                <w:sz w:val="18"/>
                <w:szCs w:val="18"/>
                <w:u w:val="none"/>
              </w:rPr>
            </w:pPr>
          </w:p>
        </w:tc>
        <w:tc>
          <w:tcPr>
            <w:tcW w:w="1680"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部门：双峰县人民检察院</w:t>
            </w:r>
          </w:p>
        </w:tc>
        <w:tc>
          <w:tcPr>
            <w:tcW w:w="735"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320" w:type="dxa"/>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c>
          <w:tcPr>
            <w:tcW w:w="2340"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735"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680" w:type="dxa"/>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w:t>
            </w:r>
            <w:r>
              <w:rPr>
                <w:rFonts w:hint="eastAsia" w:cs="宋体"/>
                <w:i w:val="0"/>
                <w:color w:val="000000"/>
                <w:kern w:val="0"/>
                <w:sz w:val="22"/>
                <w:szCs w:val="22"/>
                <w:u w:val="none"/>
                <w:lang w:val="en-US" w:eastAsia="zh-CN" w:bidi="ar"/>
              </w:rPr>
              <w:t>万</w:t>
            </w: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695"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4755" w:type="dxa"/>
            <w:gridSpan w:val="3"/>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2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8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735"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32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735"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68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1471.51</w:t>
            </w: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6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1385.52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56.14</w:t>
            </w: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6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69.94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6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36.43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6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85.91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1527.65</w:t>
            </w: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6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1577.80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6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217.81</w:t>
            </w: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6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167.67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340"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680"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4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735" w:type="dxa"/>
            <w:tcBorders>
              <w:bottom w:val="single" w:color="000000" w:sz="18"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1745.47</w:t>
            </w:r>
          </w:p>
        </w:tc>
        <w:tc>
          <w:tcPr>
            <w:tcW w:w="2340" w:type="dxa"/>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7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6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1745.47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450" w:type="dxa"/>
            <w:gridSpan w:val="6"/>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注：本表反映部门本年度的总收支和年末结转结余情况。本套报表金额单位转换时可能存在尾数误差。</w:t>
            </w:r>
          </w:p>
        </w:tc>
      </w:tr>
    </w:tbl>
    <w:p>
      <w:pPr>
        <w:pStyle w:val="13"/>
        <w:numPr>
          <w:ilvl w:val="0"/>
          <w:numId w:val="0"/>
        </w:numPr>
        <w:spacing w:before="0" w:beforeAutospacing="0"/>
        <w:jc w:val="both"/>
        <w:outlineLvl w:val="0"/>
        <w:rPr>
          <w:rStyle w:val="16"/>
          <w:rFonts w:hint="eastAsia" w:ascii="黑体" w:hAnsi="黑体" w:eastAsia="黑体" w:cs="黑体"/>
          <w:sz w:val="44"/>
          <w:szCs w:val="44"/>
          <w:shd w:val="clear" w:color="auto" w:fill="FFFFFF"/>
        </w:rPr>
      </w:pPr>
    </w:p>
    <w:p>
      <w:pPr>
        <w:pStyle w:val="13"/>
        <w:adjustRightInd w:val="0"/>
        <w:snapToGrid w:val="0"/>
        <w:spacing w:beforeLines="250" w:beforeAutospacing="0"/>
        <w:outlineLvl w:val="1"/>
        <w:rPr>
          <w:shd w:val="clear" w:color="auto" w:fill="FFFFFF"/>
        </w:rPr>
        <w:sectPr>
          <w:footerReference r:id="rId10" w:type="default"/>
          <w:pgSz w:w="11915" w:h="16851"/>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13"/>
        <w:numPr>
          <w:ilvl w:val="0"/>
          <w:numId w:val="1"/>
        </w:numPr>
        <w:spacing w:before="0" w:beforeAutospacing="0"/>
        <w:ind w:firstLine="480" w:firstLineChars="150"/>
        <w:outlineLvl w:val="1"/>
        <w:rPr>
          <w:rFonts w:hint="eastAsia" w:ascii="楷体_GB2312" w:hAnsi="楷体" w:eastAsia="楷体_GB2312" w:cs="楷体"/>
          <w:sz w:val="32"/>
          <w:szCs w:val="32"/>
          <w:shd w:val="clear" w:color="auto" w:fill="FFFFFF"/>
        </w:rPr>
      </w:pPr>
      <w:bookmarkStart w:id="6" w:name="_Toc17035"/>
      <w:r>
        <w:rPr>
          <w:rFonts w:hint="eastAsia" w:ascii="楷体_GB2312" w:hAnsi="楷体" w:eastAsia="楷体_GB2312" w:cs="楷体"/>
          <w:sz w:val="32"/>
          <w:szCs w:val="32"/>
          <w:shd w:val="clear" w:color="auto" w:fill="FFFFFF"/>
        </w:rPr>
        <w:t>收入决算表</w:t>
      </w:r>
      <w:bookmarkEnd w:id="6"/>
    </w:p>
    <w:tbl>
      <w:tblPr>
        <w:tblStyle w:val="14"/>
        <w:tblW w:w="13635"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3"/>
        <w:gridCol w:w="905"/>
        <w:gridCol w:w="240"/>
        <w:gridCol w:w="3442"/>
        <w:gridCol w:w="1575"/>
        <w:gridCol w:w="1530"/>
        <w:gridCol w:w="1200"/>
        <w:gridCol w:w="1170"/>
        <w:gridCol w:w="1050"/>
        <w:gridCol w:w="1072"/>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 w:hRule="atLeast"/>
        </w:trPr>
        <w:tc>
          <w:tcPr>
            <w:tcW w:w="213" w:type="dxa"/>
            <w:shd w:val="clear" w:color="auto" w:fill="FFFFFF"/>
            <w:vAlign w:val="center"/>
          </w:tcPr>
          <w:p>
            <w:pPr>
              <w:jc w:val="left"/>
              <w:rPr>
                <w:rFonts w:hint="eastAsia" w:ascii="宋体" w:hAnsi="宋体" w:eastAsia="宋体" w:cs="宋体"/>
                <w:i w:val="0"/>
                <w:color w:val="000000"/>
                <w:sz w:val="18"/>
                <w:szCs w:val="18"/>
                <w:u w:val="none"/>
              </w:rPr>
            </w:pPr>
          </w:p>
        </w:tc>
        <w:tc>
          <w:tcPr>
            <w:tcW w:w="905" w:type="dxa"/>
            <w:shd w:val="clear" w:color="auto" w:fill="FFFFFF"/>
            <w:vAlign w:val="center"/>
          </w:tcPr>
          <w:p>
            <w:pPr>
              <w:jc w:val="left"/>
              <w:rPr>
                <w:rFonts w:hint="eastAsia" w:ascii="宋体" w:hAnsi="宋体" w:eastAsia="宋体" w:cs="宋体"/>
                <w:i w:val="0"/>
                <w:color w:val="000000"/>
                <w:sz w:val="18"/>
                <w:szCs w:val="18"/>
                <w:u w:val="none"/>
              </w:rPr>
            </w:pPr>
          </w:p>
        </w:tc>
        <w:tc>
          <w:tcPr>
            <w:tcW w:w="240" w:type="dxa"/>
            <w:shd w:val="clear" w:color="auto" w:fill="FFFFFF"/>
            <w:vAlign w:val="center"/>
          </w:tcPr>
          <w:p>
            <w:pPr>
              <w:jc w:val="left"/>
              <w:rPr>
                <w:rFonts w:hint="eastAsia" w:ascii="宋体" w:hAnsi="宋体" w:eastAsia="宋体" w:cs="宋体"/>
                <w:i w:val="0"/>
                <w:color w:val="000000"/>
                <w:sz w:val="18"/>
                <w:szCs w:val="18"/>
                <w:u w:val="none"/>
              </w:rPr>
            </w:pPr>
          </w:p>
        </w:tc>
        <w:tc>
          <w:tcPr>
            <w:tcW w:w="3442" w:type="dxa"/>
            <w:shd w:val="clear" w:color="auto" w:fill="FFFFFF"/>
            <w:vAlign w:val="center"/>
          </w:tcPr>
          <w:p>
            <w:pPr>
              <w:jc w:val="left"/>
              <w:rPr>
                <w:rFonts w:hint="eastAsia" w:ascii="宋体" w:hAnsi="宋体" w:eastAsia="宋体" w:cs="宋体"/>
                <w:i w:val="0"/>
                <w:color w:val="000000"/>
                <w:sz w:val="18"/>
                <w:szCs w:val="18"/>
                <w:u w:val="none"/>
              </w:rPr>
            </w:pPr>
          </w:p>
        </w:tc>
        <w:tc>
          <w:tcPr>
            <w:tcW w:w="1575" w:type="dxa"/>
            <w:shd w:val="clear" w:color="auto" w:fill="FFFFFF"/>
            <w:vAlign w:val="center"/>
          </w:tcPr>
          <w:p>
            <w:pPr>
              <w:jc w:val="left"/>
              <w:rPr>
                <w:rFonts w:hint="eastAsia" w:ascii="宋体" w:hAnsi="宋体" w:eastAsia="宋体" w:cs="宋体"/>
                <w:i w:val="0"/>
                <w:color w:val="000000"/>
                <w:sz w:val="18"/>
                <w:szCs w:val="18"/>
                <w:u w:val="none"/>
              </w:rPr>
            </w:pPr>
          </w:p>
        </w:tc>
        <w:tc>
          <w:tcPr>
            <w:tcW w:w="1530" w:type="dxa"/>
            <w:shd w:val="clear" w:color="auto" w:fill="FFFFFF"/>
            <w:vAlign w:val="center"/>
          </w:tcPr>
          <w:p>
            <w:pPr>
              <w:jc w:val="left"/>
              <w:rPr>
                <w:rFonts w:hint="eastAsia" w:ascii="宋体" w:hAnsi="宋体" w:eastAsia="宋体" w:cs="宋体"/>
                <w:i w:val="0"/>
                <w:color w:val="000000"/>
                <w:sz w:val="18"/>
                <w:szCs w:val="18"/>
                <w:u w:val="none"/>
              </w:rPr>
            </w:pPr>
          </w:p>
        </w:tc>
        <w:tc>
          <w:tcPr>
            <w:tcW w:w="1200" w:type="dxa"/>
            <w:shd w:val="clear" w:color="auto" w:fill="FFFFFF"/>
            <w:vAlign w:val="center"/>
          </w:tcPr>
          <w:p>
            <w:pPr>
              <w:jc w:val="left"/>
              <w:rPr>
                <w:rFonts w:hint="eastAsia" w:ascii="宋体" w:hAnsi="宋体" w:eastAsia="宋体" w:cs="宋体"/>
                <w:i w:val="0"/>
                <w:color w:val="000000"/>
                <w:sz w:val="18"/>
                <w:szCs w:val="18"/>
                <w:u w:val="none"/>
              </w:rPr>
            </w:pPr>
          </w:p>
        </w:tc>
        <w:tc>
          <w:tcPr>
            <w:tcW w:w="1170" w:type="dxa"/>
            <w:shd w:val="clear" w:color="auto" w:fill="FFFFFF"/>
            <w:vAlign w:val="center"/>
          </w:tcPr>
          <w:p>
            <w:pPr>
              <w:jc w:val="left"/>
              <w:rPr>
                <w:rFonts w:hint="eastAsia" w:ascii="宋体" w:hAnsi="宋体" w:eastAsia="宋体" w:cs="宋体"/>
                <w:i w:val="0"/>
                <w:color w:val="000000"/>
                <w:sz w:val="18"/>
                <w:szCs w:val="18"/>
                <w:u w:val="none"/>
              </w:rPr>
            </w:pPr>
          </w:p>
        </w:tc>
        <w:tc>
          <w:tcPr>
            <w:tcW w:w="1050" w:type="dxa"/>
            <w:shd w:val="clear" w:color="auto" w:fill="FFFFFF"/>
            <w:vAlign w:val="center"/>
          </w:tcPr>
          <w:p>
            <w:pPr>
              <w:jc w:val="left"/>
              <w:rPr>
                <w:rFonts w:hint="eastAsia" w:ascii="宋体" w:hAnsi="宋体" w:eastAsia="宋体" w:cs="宋体"/>
                <w:i w:val="0"/>
                <w:color w:val="000000"/>
                <w:sz w:val="18"/>
                <w:szCs w:val="18"/>
                <w:u w:val="none"/>
              </w:rPr>
            </w:pPr>
          </w:p>
        </w:tc>
        <w:tc>
          <w:tcPr>
            <w:tcW w:w="1072" w:type="dxa"/>
            <w:shd w:val="clear" w:color="auto" w:fill="FFFFFF"/>
            <w:vAlign w:val="center"/>
          </w:tcPr>
          <w:p>
            <w:pPr>
              <w:jc w:val="left"/>
              <w:rPr>
                <w:rFonts w:hint="eastAsia" w:ascii="宋体" w:hAnsi="宋体" w:eastAsia="宋体" w:cs="宋体"/>
                <w:i w:val="0"/>
                <w:color w:val="000000"/>
                <w:sz w:val="18"/>
                <w:szCs w:val="18"/>
                <w:u w:val="none"/>
              </w:rPr>
            </w:pPr>
          </w:p>
        </w:tc>
        <w:tc>
          <w:tcPr>
            <w:tcW w:w="1238"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800" w:type="dxa"/>
            <w:gridSpan w:val="4"/>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部门：双峰县人民检察院</w:t>
            </w:r>
          </w:p>
        </w:tc>
        <w:tc>
          <w:tcPr>
            <w:tcW w:w="1575"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530" w:type="dxa"/>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1200"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170"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050"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2310" w:type="dxa"/>
            <w:gridSpan w:val="2"/>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w:t>
            </w:r>
            <w:r>
              <w:rPr>
                <w:rFonts w:hint="eastAsia" w:cs="宋体"/>
                <w:i w:val="0"/>
                <w:color w:val="000000"/>
                <w:kern w:val="0"/>
                <w:sz w:val="22"/>
                <w:szCs w:val="22"/>
                <w:u w:val="none"/>
                <w:lang w:val="en-US" w:eastAsia="zh-CN" w:bidi="ar"/>
              </w:rPr>
              <w:t>万</w:t>
            </w: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800" w:type="dxa"/>
            <w:gridSpan w:val="4"/>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57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53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20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17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05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072"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238"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358" w:type="dxa"/>
            <w:gridSpan w:val="3"/>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442"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75"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53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0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17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05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072"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38"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358"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344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575"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53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0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17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05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072"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38"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358"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344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575"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53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0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17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05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072"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38"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 w:hRule="atLeast"/>
        </w:trPr>
        <w:tc>
          <w:tcPr>
            <w:tcW w:w="4800" w:type="dxa"/>
            <w:gridSpan w:val="4"/>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57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7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7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3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 w:hRule="atLeast"/>
        </w:trPr>
        <w:tc>
          <w:tcPr>
            <w:tcW w:w="4800" w:type="dxa"/>
            <w:gridSpan w:val="4"/>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7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1,527.65</w:t>
            </w:r>
          </w:p>
        </w:tc>
        <w:tc>
          <w:tcPr>
            <w:tcW w:w="153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1,471.51</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3442"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157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1,322.36</w:t>
            </w:r>
          </w:p>
        </w:tc>
        <w:tc>
          <w:tcPr>
            <w:tcW w:w="153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1,266.22</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20404</w:t>
            </w:r>
          </w:p>
        </w:tc>
        <w:tc>
          <w:tcPr>
            <w:tcW w:w="3442"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检察</w:t>
            </w:r>
          </w:p>
        </w:tc>
        <w:tc>
          <w:tcPr>
            <w:tcW w:w="157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1,322.36</w:t>
            </w:r>
          </w:p>
        </w:tc>
        <w:tc>
          <w:tcPr>
            <w:tcW w:w="153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1,266.22</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2040401</w:t>
            </w:r>
          </w:p>
        </w:tc>
        <w:tc>
          <w:tcPr>
            <w:tcW w:w="3442"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57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1,165.17</w:t>
            </w:r>
          </w:p>
        </w:tc>
        <w:tc>
          <w:tcPr>
            <w:tcW w:w="153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1,126.62</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2040402</w:t>
            </w:r>
          </w:p>
        </w:tc>
        <w:tc>
          <w:tcPr>
            <w:tcW w:w="3442"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57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113.69</w:t>
            </w:r>
          </w:p>
        </w:tc>
        <w:tc>
          <w:tcPr>
            <w:tcW w:w="153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96.10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2040410</w:t>
            </w:r>
          </w:p>
        </w:tc>
        <w:tc>
          <w:tcPr>
            <w:tcW w:w="3442"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检察监督</w:t>
            </w:r>
          </w:p>
        </w:tc>
        <w:tc>
          <w:tcPr>
            <w:tcW w:w="157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43.50</w:t>
            </w:r>
          </w:p>
        </w:tc>
        <w:tc>
          <w:tcPr>
            <w:tcW w:w="153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43.50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442"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57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80.76</w:t>
            </w:r>
          </w:p>
        </w:tc>
        <w:tc>
          <w:tcPr>
            <w:tcW w:w="153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80.76</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442"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57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71.29</w:t>
            </w:r>
          </w:p>
        </w:tc>
        <w:tc>
          <w:tcPr>
            <w:tcW w:w="153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71.29</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442"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57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71.29</w:t>
            </w:r>
          </w:p>
        </w:tc>
        <w:tc>
          <w:tcPr>
            <w:tcW w:w="153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71.29</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3442"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57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9.47</w:t>
            </w:r>
          </w:p>
        </w:tc>
        <w:tc>
          <w:tcPr>
            <w:tcW w:w="153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9.47</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3442"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57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9.47</w:t>
            </w:r>
          </w:p>
        </w:tc>
        <w:tc>
          <w:tcPr>
            <w:tcW w:w="153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9.47</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442"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57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38.62</w:t>
            </w:r>
          </w:p>
        </w:tc>
        <w:tc>
          <w:tcPr>
            <w:tcW w:w="153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38.62</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3442"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57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38.62</w:t>
            </w:r>
          </w:p>
        </w:tc>
        <w:tc>
          <w:tcPr>
            <w:tcW w:w="153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38.62</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442"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57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38.62</w:t>
            </w:r>
          </w:p>
        </w:tc>
        <w:tc>
          <w:tcPr>
            <w:tcW w:w="153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38.62</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442"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57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53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442"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57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53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1358"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442"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57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53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3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13635" w:type="dxa"/>
            <w:gridSpan w:val="11"/>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pStyle w:val="13"/>
        <w:spacing w:before="0" w:beforeAutospacing="0"/>
        <w:outlineLvl w:val="1"/>
        <w:rPr>
          <w:shd w:val="clear" w:color="auto" w:fill="FFFFFF"/>
        </w:rPr>
        <w:sectPr>
          <w:pgSz w:w="16851" w:h="11915"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bookmarkStart w:id="7" w:name="_Toc6985"/>
      <w:r>
        <w:rPr>
          <w:rFonts w:hint="eastAsia" w:ascii="楷体_GB2312" w:hAnsi="楷体" w:eastAsia="楷体_GB2312" w:cs="楷体"/>
          <w:sz w:val="32"/>
          <w:szCs w:val="32"/>
          <w:shd w:val="clear" w:color="auto" w:fill="FFFFFF"/>
        </w:rPr>
        <w:t>三、支出决算表</w:t>
      </w:r>
      <w:bookmarkEnd w:id="7"/>
    </w:p>
    <w:tbl>
      <w:tblPr>
        <w:tblStyle w:val="14"/>
        <w:tblW w:w="140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902"/>
        <w:gridCol w:w="240"/>
        <w:gridCol w:w="3414"/>
        <w:gridCol w:w="1770"/>
        <w:gridCol w:w="1590"/>
        <w:gridCol w:w="1380"/>
        <w:gridCol w:w="1335"/>
        <w:gridCol w:w="1291"/>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72" w:type="dxa"/>
            <w:shd w:val="clear" w:color="auto" w:fill="FFFFFF"/>
            <w:vAlign w:val="center"/>
          </w:tcPr>
          <w:p>
            <w:pPr>
              <w:jc w:val="left"/>
              <w:rPr>
                <w:rFonts w:hint="eastAsia" w:ascii="宋体" w:hAnsi="宋体" w:eastAsia="宋体" w:cs="宋体"/>
                <w:i w:val="0"/>
                <w:color w:val="000000"/>
                <w:sz w:val="18"/>
                <w:szCs w:val="18"/>
                <w:u w:val="none"/>
              </w:rPr>
            </w:pPr>
          </w:p>
        </w:tc>
        <w:tc>
          <w:tcPr>
            <w:tcW w:w="902" w:type="dxa"/>
            <w:shd w:val="clear" w:color="auto" w:fill="FFFFFF"/>
            <w:vAlign w:val="center"/>
          </w:tcPr>
          <w:p>
            <w:pPr>
              <w:jc w:val="left"/>
              <w:rPr>
                <w:rFonts w:hint="eastAsia" w:ascii="宋体" w:hAnsi="宋体" w:eastAsia="宋体" w:cs="宋体"/>
                <w:i w:val="0"/>
                <w:color w:val="000000"/>
                <w:sz w:val="18"/>
                <w:szCs w:val="18"/>
                <w:u w:val="none"/>
              </w:rPr>
            </w:pPr>
          </w:p>
        </w:tc>
        <w:tc>
          <w:tcPr>
            <w:tcW w:w="240" w:type="dxa"/>
            <w:shd w:val="clear" w:color="auto" w:fill="FFFFFF"/>
            <w:vAlign w:val="center"/>
          </w:tcPr>
          <w:p>
            <w:pPr>
              <w:jc w:val="left"/>
              <w:rPr>
                <w:rFonts w:hint="eastAsia" w:ascii="宋体" w:hAnsi="宋体" w:eastAsia="宋体" w:cs="宋体"/>
                <w:i w:val="0"/>
                <w:color w:val="000000"/>
                <w:sz w:val="18"/>
                <w:szCs w:val="18"/>
                <w:u w:val="none"/>
              </w:rPr>
            </w:pPr>
          </w:p>
        </w:tc>
        <w:tc>
          <w:tcPr>
            <w:tcW w:w="3414" w:type="dxa"/>
            <w:shd w:val="clear" w:color="auto" w:fill="FFFFFF"/>
            <w:vAlign w:val="center"/>
          </w:tcPr>
          <w:p>
            <w:pPr>
              <w:jc w:val="left"/>
              <w:rPr>
                <w:rFonts w:hint="eastAsia" w:ascii="宋体" w:hAnsi="宋体" w:eastAsia="宋体" w:cs="宋体"/>
                <w:i w:val="0"/>
                <w:color w:val="000000"/>
                <w:sz w:val="18"/>
                <w:szCs w:val="18"/>
                <w:u w:val="none"/>
              </w:rPr>
            </w:pPr>
          </w:p>
        </w:tc>
        <w:tc>
          <w:tcPr>
            <w:tcW w:w="1770" w:type="dxa"/>
            <w:shd w:val="clear" w:color="auto" w:fill="FFFFFF"/>
            <w:vAlign w:val="center"/>
          </w:tcPr>
          <w:p>
            <w:pPr>
              <w:jc w:val="left"/>
              <w:rPr>
                <w:rFonts w:hint="eastAsia" w:ascii="宋体" w:hAnsi="宋体" w:eastAsia="宋体" w:cs="宋体"/>
                <w:i w:val="0"/>
                <w:color w:val="000000"/>
                <w:sz w:val="18"/>
                <w:szCs w:val="18"/>
                <w:u w:val="none"/>
              </w:rPr>
            </w:pPr>
          </w:p>
        </w:tc>
        <w:tc>
          <w:tcPr>
            <w:tcW w:w="1590" w:type="dxa"/>
            <w:shd w:val="clear" w:color="auto" w:fill="FFFFFF"/>
            <w:vAlign w:val="center"/>
          </w:tcPr>
          <w:p>
            <w:pPr>
              <w:jc w:val="left"/>
              <w:rPr>
                <w:rFonts w:hint="eastAsia" w:ascii="宋体" w:hAnsi="宋体" w:eastAsia="宋体" w:cs="宋体"/>
                <w:i w:val="0"/>
                <w:color w:val="000000"/>
                <w:sz w:val="18"/>
                <w:szCs w:val="18"/>
                <w:u w:val="none"/>
              </w:rPr>
            </w:pPr>
          </w:p>
        </w:tc>
        <w:tc>
          <w:tcPr>
            <w:tcW w:w="1380" w:type="dxa"/>
            <w:shd w:val="clear" w:color="auto" w:fill="FFFFFF"/>
            <w:vAlign w:val="center"/>
          </w:tcPr>
          <w:p>
            <w:pPr>
              <w:jc w:val="left"/>
              <w:rPr>
                <w:rFonts w:hint="eastAsia" w:ascii="宋体" w:hAnsi="宋体" w:eastAsia="宋体" w:cs="宋体"/>
                <w:i w:val="0"/>
                <w:color w:val="000000"/>
                <w:sz w:val="18"/>
                <w:szCs w:val="18"/>
                <w:u w:val="none"/>
              </w:rPr>
            </w:pPr>
          </w:p>
        </w:tc>
        <w:tc>
          <w:tcPr>
            <w:tcW w:w="1335" w:type="dxa"/>
            <w:shd w:val="clear" w:color="auto" w:fill="FFFFFF"/>
            <w:vAlign w:val="center"/>
          </w:tcPr>
          <w:p>
            <w:pPr>
              <w:jc w:val="left"/>
              <w:rPr>
                <w:rFonts w:hint="eastAsia" w:ascii="宋体" w:hAnsi="宋体" w:eastAsia="宋体" w:cs="宋体"/>
                <w:i w:val="0"/>
                <w:color w:val="000000"/>
                <w:sz w:val="18"/>
                <w:szCs w:val="18"/>
                <w:u w:val="none"/>
              </w:rPr>
            </w:pPr>
          </w:p>
        </w:tc>
        <w:tc>
          <w:tcPr>
            <w:tcW w:w="1291" w:type="dxa"/>
            <w:shd w:val="clear" w:color="auto" w:fill="FFFFFF"/>
            <w:vAlign w:val="center"/>
          </w:tcPr>
          <w:p>
            <w:pPr>
              <w:jc w:val="left"/>
              <w:rPr>
                <w:rFonts w:hint="eastAsia" w:ascii="宋体" w:hAnsi="宋体" w:eastAsia="宋体" w:cs="宋体"/>
                <w:i w:val="0"/>
                <w:color w:val="000000"/>
                <w:sz w:val="18"/>
                <w:szCs w:val="18"/>
                <w:u w:val="none"/>
              </w:rPr>
            </w:pPr>
          </w:p>
        </w:tc>
        <w:tc>
          <w:tcPr>
            <w:tcW w:w="1620"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028" w:type="dxa"/>
            <w:gridSpan w:val="4"/>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部门：双峰县人民检察院</w:t>
            </w:r>
          </w:p>
        </w:tc>
        <w:tc>
          <w:tcPr>
            <w:tcW w:w="1770" w:type="dxa"/>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1590" w:type="dxa"/>
            <w:tcBorders>
              <w:bottom w:val="single" w:color="80808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1380" w:type="dxa"/>
            <w:tcBorders>
              <w:bottom w:val="single" w:color="80808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1335"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291"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620" w:type="dxa"/>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w:t>
            </w:r>
            <w:r>
              <w:rPr>
                <w:rFonts w:hint="eastAsia" w:cs="宋体"/>
                <w:i w:val="0"/>
                <w:color w:val="000000"/>
                <w:kern w:val="0"/>
                <w:sz w:val="22"/>
                <w:szCs w:val="22"/>
                <w:u w:val="none"/>
                <w:lang w:val="en-US" w:eastAsia="zh-CN" w:bidi="ar"/>
              </w:rPr>
              <w:t>万</w:t>
            </w: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028" w:type="dxa"/>
            <w:gridSpan w:val="4"/>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77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59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38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33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29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62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614" w:type="dxa"/>
            <w:gridSpan w:val="3"/>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414"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7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59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38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335"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91"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62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614"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341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77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59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38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335"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91"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62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614"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341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77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59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38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335"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91"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62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028" w:type="dxa"/>
            <w:gridSpan w:val="4"/>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8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9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2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028" w:type="dxa"/>
            <w:gridSpan w:val="4"/>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1,577.80</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1,505.36</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72.44</w:t>
            </w:r>
          </w:p>
        </w:tc>
        <w:tc>
          <w:tcPr>
            <w:tcW w:w="13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rPr>
            </w:pP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341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1,385.52</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1,313.08</w:t>
            </w:r>
          </w:p>
        </w:tc>
        <w:tc>
          <w:tcPr>
            <w:tcW w:w="138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72.44</w:t>
            </w:r>
          </w:p>
        </w:tc>
        <w:tc>
          <w:tcPr>
            <w:tcW w:w="13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C0C0C0"/>
            <w:vAlign w:val="center"/>
          </w:tcPr>
          <w:p>
            <w:pPr>
              <w:jc w:val="right"/>
              <w:rPr>
                <w:rFonts w:hint="eastAsia" w:ascii="宋体" w:hAnsi="宋体" w:eastAsia="宋体" w:cs="宋体"/>
                <w:b/>
                <w:i w:val="0"/>
                <w:color w:val="000000"/>
                <w:sz w:val="20"/>
                <w:szCs w:val="20"/>
                <w:u w:val="none"/>
              </w:rPr>
            </w:pPr>
          </w:p>
        </w:tc>
        <w:tc>
          <w:tcPr>
            <w:tcW w:w="162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20404</w:t>
            </w:r>
          </w:p>
        </w:tc>
        <w:tc>
          <w:tcPr>
            <w:tcW w:w="341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检察</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1,385.52</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1,313.08</w:t>
            </w:r>
          </w:p>
        </w:tc>
        <w:tc>
          <w:tcPr>
            <w:tcW w:w="138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72.44</w:t>
            </w:r>
          </w:p>
        </w:tc>
        <w:tc>
          <w:tcPr>
            <w:tcW w:w="13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C0C0C0"/>
            <w:vAlign w:val="center"/>
          </w:tcPr>
          <w:p>
            <w:pPr>
              <w:jc w:val="right"/>
              <w:rPr>
                <w:rFonts w:hint="eastAsia" w:ascii="宋体" w:hAnsi="宋体" w:eastAsia="宋体" w:cs="宋体"/>
                <w:b/>
                <w:i w:val="0"/>
                <w:color w:val="000000"/>
                <w:sz w:val="20"/>
                <w:szCs w:val="20"/>
                <w:u w:val="none"/>
              </w:rPr>
            </w:pPr>
          </w:p>
        </w:tc>
        <w:tc>
          <w:tcPr>
            <w:tcW w:w="162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2040401</w:t>
            </w:r>
          </w:p>
        </w:tc>
        <w:tc>
          <w:tcPr>
            <w:tcW w:w="3414"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1,269.59</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1,269.59</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2040402</w:t>
            </w:r>
          </w:p>
        </w:tc>
        <w:tc>
          <w:tcPr>
            <w:tcW w:w="3414"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72.44</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72.44</w:t>
            </w:r>
          </w:p>
        </w:tc>
        <w:tc>
          <w:tcPr>
            <w:tcW w:w="13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2040410</w:t>
            </w:r>
          </w:p>
        </w:tc>
        <w:tc>
          <w:tcPr>
            <w:tcW w:w="3414"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检察监督</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43.49</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43.49</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41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69.94</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69.94</w:t>
            </w:r>
          </w:p>
        </w:tc>
        <w:tc>
          <w:tcPr>
            <w:tcW w:w="138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C0C0C0"/>
            <w:vAlign w:val="center"/>
          </w:tcPr>
          <w:p>
            <w:pPr>
              <w:jc w:val="right"/>
              <w:rPr>
                <w:rFonts w:hint="eastAsia" w:ascii="宋体" w:hAnsi="宋体" w:eastAsia="宋体" w:cs="宋体"/>
                <w:b/>
                <w:i w:val="0"/>
                <w:color w:val="000000"/>
                <w:sz w:val="20"/>
                <w:szCs w:val="20"/>
                <w:u w:val="none"/>
              </w:rPr>
            </w:pPr>
          </w:p>
        </w:tc>
        <w:tc>
          <w:tcPr>
            <w:tcW w:w="162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41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66.11</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66.11</w:t>
            </w:r>
          </w:p>
        </w:tc>
        <w:tc>
          <w:tcPr>
            <w:tcW w:w="138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C0C0C0"/>
            <w:vAlign w:val="center"/>
          </w:tcPr>
          <w:p>
            <w:pPr>
              <w:jc w:val="right"/>
              <w:rPr>
                <w:rFonts w:hint="eastAsia" w:ascii="宋体" w:hAnsi="宋体" w:eastAsia="宋体" w:cs="宋体"/>
                <w:b/>
                <w:i w:val="0"/>
                <w:color w:val="000000"/>
                <w:sz w:val="20"/>
                <w:szCs w:val="20"/>
                <w:u w:val="none"/>
              </w:rPr>
            </w:pPr>
          </w:p>
        </w:tc>
        <w:tc>
          <w:tcPr>
            <w:tcW w:w="162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414"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66.11</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66.11</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341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w:t>
            </w:r>
          </w:p>
        </w:tc>
        <w:tc>
          <w:tcPr>
            <w:tcW w:w="138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C0C0C0"/>
            <w:vAlign w:val="center"/>
          </w:tcPr>
          <w:p>
            <w:pPr>
              <w:jc w:val="right"/>
              <w:rPr>
                <w:rFonts w:hint="eastAsia" w:ascii="宋体" w:hAnsi="宋体" w:eastAsia="宋体" w:cs="宋体"/>
                <w:b/>
                <w:i w:val="0"/>
                <w:color w:val="000000"/>
                <w:sz w:val="20"/>
                <w:szCs w:val="20"/>
                <w:u w:val="none"/>
              </w:rPr>
            </w:pPr>
          </w:p>
        </w:tc>
        <w:tc>
          <w:tcPr>
            <w:tcW w:w="162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3414"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41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36.43</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36.43</w:t>
            </w:r>
          </w:p>
        </w:tc>
        <w:tc>
          <w:tcPr>
            <w:tcW w:w="138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C0C0C0"/>
            <w:vAlign w:val="center"/>
          </w:tcPr>
          <w:p>
            <w:pPr>
              <w:jc w:val="right"/>
              <w:rPr>
                <w:rFonts w:hint="eastAsia" w:ascii="宋体" w:hAnsi="宋体" w:eastAsia="宋体" w:cs="宋体"/>
                <w:b/>
                <w:i w:val="0"/>
                <w:color w:val="000000"/>
                <w:sz w:val="20"/>
                <w:szCs w:val="20"/>
                <w:u w:val="none"/>
              </w:rPr>
            </w:pPr>
          </w:p>
        </w:tc>
        <w:tc>
          <w:tcPr>
            <w:tcW w:w="162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341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36.43</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36.43</w:t>
            </w:r>
          </w:p>
        </w:tc>
        <w:tc>
          <w:tcPr>
            <w:tcW w:w="138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C0C0C0"/>
            <w:vAlign w:val="center"/>
          </w:tcPr>
          <w:p>
            <w:pPr>
              <w:jc w:val="right"/>
              <w:rPr>
                <w:rFonts w:hint="eastAsia" w:ascii="宋体" w:hAnsi="宋体" w:eastAsia="宋体" w:cs="宋体"/>
                <w:b/>
                <w:i w:val="0"/>
                <w:color w:val="000000"/>
                <w:sz w:val="20"/>
                <w:szCs w:val="20"/>
                <w:u w:val="none"/>
              </w:rPr>
            </w:pPr>
          </w:p>
        </w:tc>
        <w:tc>
          <w:tcPr>
            <w:tcW w:w="162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414"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36.43</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36.43</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41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38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C0C0C0"/>
            <w:vAlign w:val="center"/>
          </w:tcPr>
          <w:p>
            <w:pPr>
              <w:jc w:val="right"/>
              <w:rPr>
                <w:rFonts w:hint="eastAsia" w:ascii="宋体" w:hAnsi="宋体" w:eastAsia="宋体" w:cs="宋体"/>
                <w:b/>
                <w:i w:val="0"/>
                <w:color w:val="000000"/>
                <w:sz w:val="20"/>
                <w:szCs w:val="20"/>
                <w:u w:val="none"/>
              </w:rPr>
            </w:pPr>
          </w:p>
        </w:tc>
        <w:tc>
          <w:tcPr>
            <w:tcW w:w="162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41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38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C0C0C0"/>
            <w:vAlign w:val="center"/>
          </w:tcPr>
          <w:p>
            <w:pPr>
              <w:jc w:val="right"/>
              <w:rPr>
                <w:rFonts w:hint="eastAsia" w:ascii="宋体" w:hAnsi="宋体" w:eastAsia="宋体" w:cs="宋体"/>
                <w:b/>
                <w:i w:val="0"/>
                <w:color w:val="000000"/>
                <w:sz w:val="20"/>
                <w:szCs w:val="20"/>
                <w:u w:val="none"/>
              </w:rPr>
            </w:pPr>
          </w:p>
        </w:tc>
        <w:tc>
          <w:tcPr>
            <w:tcW w:w="162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614"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414"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4014" w:type="dxa"/>
            <w:gridSpan w:val="10"/>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pStyle w:val="13"/>
        <w:spacing w:before="0" w:beforeAutospacing="0"/>
        <w:ind w:firstLine="480" w:firstLineChars="150"/>
        <w:outlineLvl w:val="1"/>
        <w:rPr>
          <w:rFonts w:ascii="楷体_GB2312" w:hAnsi="楷体" w:eastAsia="楷体_GB2312" w:cs="楷体"/>
          <w:sz w:val="32"/>
          <w:szCs w:val="32"/>
          <w:shd w:val="clear" w:color="auto" w:fill="FFFFFF"/>
        </w:r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p>
    <w:p>
      <w:pPr>
        <w:pStyle w:val="13"/>
        <w:spacing w:before="0" w:beforeAutospacing="0"/>
        <w:outlineLvl w:val="1"/>
        <w:rPr>
          <w:shd w:val="clear" w:color="auto" w:fill="FFFFFF"/>
        </w:rPr>
        <w:sectPr>
          <w:pgSz w:w="16851" w:h="11915"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13"/>
        <w:adjustRightInd w:val="0"/>
        <w:snapToGrid w:val="0"/>
        <w:spacing w:before="0" w:beforeAutospacing="0" w:after="0" w:afterAutospacing="0" w:line="400" w:lineRule="exact"/>
        <w:ind w:firstLine="640" w:firstLineChars="200"/>
        <w:outlineLvl w:val="1"/>
        <w:rPr>
          <w:rFonts w:ascii="楷体_GB2312" w:hAnsi="楷体" w:eastAsia="楷体_GB2312" w:cs="楷体"/>
          <w:sz w:val="32"/>
          <w:szCs w:val="32"/>
          <w:shd w:val="clear" w:color="auto" w:fill="FFFFFF"/>
        </w:rPr>
      </w:pPr>
      <w:bookmarkStart w:id="8" w:name="_Toc20129"/>
      <w:r>
        <w:rPr>
          <w:rFonts w:hint="eastAsia" w:ascii="楷体_GB2312" w:hAnsi="楷体" w:eastAsia="楷体_GB2312" w:cs="楷体"/>
          <w:sz w:val="32"/>
          <w:szCs w:val="32"/>
          <w:shd w:val="clear" w:color="auto" w:fill="FFFFFF"/>
        </w:rPr>
        <w:t>四、财政拨款收入支出决算总表</w:t>
      </w:r>
      <w:bookmarkEnd w:id="8"/>
    </w:p>
    <w:tbl>
      <w:tblPr>
        <w:tblStyle w:val="14"/>
        <w:tblpPr w:leftFromText="180" w:rightFromText="180" w:vertAnchor="text" w:horzAnchor="page" w:tblpX="1399" w:tblpY="647"/>
        <w:tblOverlap w:val="never"/>
        <w:tblW w:w="141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49"/>
        <w:gridCol w:w="433"/>
        <w:gridCol w:w="1693"/>
        <w:gridCol w:w="2805"/>
        <w:gridCol w:w="660"/>
        <w:gridCol w:w="1590"/>
        <w:gridCol w:w="1440"/>
        <w:gridCol w:w="1470"/>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shd w:val="clear" w:color="auto" w:fill="FFFFFF"/>
            <w:vAlign w:val="center"/>
          </w:tcPr>
          <w:p>
            <w:pPr>
              <w:jc w:val="left"/>
              <w:rPr>
                <w:rFonts w:hint="eastAsia" w:ascii="宋体" w:hAnsi="宋体" w:eastAsia="宋体" w:cs="宋体"/>
                <w:i w:val="0"/>
                <w:color w:val="000000"/>
                <w:sz w:val="18"/>
                <w:szCs w:val="18"/>
                <w:u w:val="none"/>
              </w:rPr>
            </w:pPr>
          </w:p>
        </w:tc>
        <w:tc>
          <w:tcPr>
            <w:tcW w:w="433" w:type="dxa"/>
            <w:shd w:val="clear" w:color="auto" w:fill="FFFFFF"/>
            <w:vAlign w:val="center"/>
          </w:tcPr>
          <w:p>
            <w:pPr>
              <w:jc w:val="left"/>
              <w:rPr>
                <w:rFonts w:hint="eastAsia" w:ascii="宋体" w:hAnsi="宋体" w:eastAsia="宋体" w:cs="宋体"/>
                <w:i w:val="0"/>
                <w:color w:val="000000"/>
                <w:sz w:val="18"/>
                <w:szCs w:val="18"/>
                <w:u w:val="none"/>
              </w:rPr>
            </w:pPr>
          </w:p>
        </w:tc>
        <w:tc>
          <w:tcPr>
            <w:tcW w:w="1693" w:type="dxa"/>
            <w:shd w:val="clear" w:color="auto" w:fill="FFFFFF"/>
            <w:vAlign w:val="center"/>
          </w:tcPr>
          <w:p>
            <w:pPr>
              <w:jc w:val="left"/>
              <w:rPr>
                <w:rFonts w:hint="eastAsia" w:ascii="宋体" w:hAnsi="宋体" w:eastAsia="宋体" w:cs="宋体"/>
                <w:i w:val="0"/>
                <w:color w:val="000000"/>
                <w:sz w:val="18"/>
                <w:szCs w:val="18"/>
                <w:u w:val="none"/>
              </w:rPr>
            </w:pPr>
          </w:p>
        </w:tc>
        <w:tc>
          <w:tcPr>
            <w:tcW w:w="2805" w:type="dxa"/>
            <w:shd w:val="clear" w:color="auto" w:fill="FFFFFF"/>
            <w:vAlign w:val="center"/>
          </w:tcPr>
          <w:p>
            <w:pPr>
              <w:jc w:val="left"/>
              <w:rPr>
                <w:rFonts w:hint="eastAsia" w:ascii="宋体" w:hAnsi="宋体" w:eastAsia="宋体" w:cs="宋体"/>
                <w:i w:val="0"/>
                <w:color w:val="000000"/>
                <w:sz w:val="18"/>
                <w:szCs w:val="18"/>
                <w:u w:val="none"/>
              </w:rPr>
            </w:pPr>
          </w:p>
        </w:tc>
        <w:tc>
          <w:tcPr>
            <w:tcW w:w="660" w:type="dxa"/>
            <w:shd w:val="clear" w:color="auto" w:fill="FFFFFF"/>
            <w:vAlign w:val="center"/>
          </w:tcPr>
          <w:p>
            <w:pPr>
              <w:jc w:val="left"/>
              <w:rPr>
                <w:rFonts w:hint="eastAsia" w:ascii="宋体" w:hAnsi="宋体" w:eastAsia="宋体" w:cs="宋体"/>
                <w:i w:val="0"/>
                <w:color w:val="000000"/>
                <w:sz w:val="18"/>
                <w:szCs w:val="18"/>
                <w:u w:val="none"/>
              </w:rPr>
            </w:pPr>
          </w:p>
        </w:tc>
        <w:tc>
          <w:tcPr>
            <w:tcW w:w="1590" w:type="dxa"/>
            <w:shd w:val="clear" w:color="auto" w:fill="FFFFFF"/>
            <w:vAlign w:val="center"/>
          </w:tcPr>
          <w:p>
            <w:pPr>
              <w:jc w:val="left"/>
              <w:rPr>
                <w:rFonts w:hint="eastAsia" w:ascii="宋体" w:hAnsi="宋体" w:eastAsia="宋体" w:cs="宋体"/>
                <w:i w:val="0"/>
                <w:color w:val="000000"/>
                <w:sz w:val="18"/>
                <w:szCs w:val="18"/>
                <w:u w:val="none"/>
              </w:rPr>
            </w:pPr>
          </w:p>
        </w:tc>
        <w:tc>
          <w:tcPr>
            <w:tcW w:w="1440" w:type="dxa"/>
            <w:shd w:val="clear" w:color="auto" w:fill="FFFFFF"/>
            <w:vAlign w:val="center"/>
          </w:tcPr>
          <w:p>
            <w:pPr>
              <w:jc w:val="left"/>
              <w:rPr>
                <w:rFonts w:hint="eastAsia" w:ascii="宋体" w:hAnsi="宋体" w:eastAsia="宋体" w:cs="宋体"/>
                <w:i w:val="0"/>
                <w:color w:val="000000"/>
                <w:sz w:val="18"/>
                <w:szCs w:val="18"/>
                <w:u w:val="none"/>
              </w:rPr>
            </w:pPr>
          </w:p>
        </w:tc>
        <w:tc>
          <w:tcPr>
            <w:tcW w:w="1470" w:type="dxa"/>
            <w:shd w:val="clear" w:color="auto" w:fill="FFFFFF"/>
            <w:vAlign w:val="center"/>
          </w:tcPr>
          <w:p>
            <w:pPr>
              <w:jc w:val="left"/>
              <w:rPr>
                <w:rFonts w:hint="eastAsia" w:ascii="宋体" w:hAnsi="宋体" w:eastAsia="宋体" w:cs="宋体"/>
                <w:i w:val="0"/>
                <w:color w:val="000000"/>
                <w:sz w:val="18"/>
                <w:szCs w:val="18"/>
                <w:u w:val="none"/>
              </w:rPr>
            </w:pPr>
          </w:p>
        </w:tc>
        <w:tc>
          <w:tcPr>
            <w:tcW w:w="1591"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882" w:type="dxa"/>
            <w:gridSpan w:val="2"/>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部门：双峰县人民检察院</w:t>
            </w:r>
          </w:p>
        </w:tc>
        <w:tc>
          <w:tcPr>
            <w:tcW w:w="1693"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055" w:type="dxa"/>
            <w:gridSpan w:val="3"/>
            <w:tcBorders>
              <w:bottom w:val="single" w:color="808080" w:sz="4" w:space="0"/>
            </w:tcBorders>
            <w:shd w:val="clear" w:color="auto" w:fill="FFFFFF"/>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2020年度</w:t>
            </w:r>
          </w:p>
        </w:tc>
        <w:tc>
          <w:tcPr>
            <w:tcW w:w="1440" w:type="dxa"/>
            <w:tcBorders>
              <w:bottom w:val="single" w:color="80808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1470"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591" w:type="dxa"/>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w:t>
            </w:r>
            <w:r>
              <w:rPr>
                <w:rFonts w:hint="eastAsia" w:cs="宋体"/>
                <w:i w:val="0"/>
                <w:color w:val="000000"/>
                <w:kern w:val="0"/>
                <w:sz w:val="22"/>
                <w:szCs w:val="22"/>
                <w:u w:val="none"/>
                <w:lang w:val="en-US" w:eastAsia="zh-CN" w:bidi="ar"/>
              </w:rPr>
              <w:t>万</w:t>
            </w: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575"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9556" w:type="dxa"/>
            <w:gridSpan w:val="6"/>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449" w:type="dxa"/>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33"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93"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805" w:type="dxa"/>
            <w:vMerge w:val="restart"/>
            <w:tcBorders>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6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9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4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47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59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449" w:type="dxa"/>
            <w:vMerge w:val="continue"/>
            <w:tcBorders>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color w:val="000000"/>
                <w:sz w:val="20"/>
                <w:szCs w:val="20"/>
                <w:u w:val="none"/>
              </w:rPr>
            </w:pPr>
          </w:p>
        </w:tc>
        <w:tc>
          <w:tcPr>
            <w:tcW w:w="433"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693"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2805" w:type="dxa"/>
            <w:vMerge w:val="continue"/>
            <w:tcBorders>
              <w:bottom w:val="single" w:color="000000" w:sz="4" w:space="0"/>
              <w:right w:val="single" w:color="000000" w:sz="4" w:space="0"/>
            </w:tcBorders>
            <w:shd w:val="clear" w:color="auto" w:fill="C0C0C0"/>
            <w:vAlign w:val="bottom"/>
          </w:tcPr>
          <w:p>
            <w:pPr>
              <w:jc w:val="both"/>
              <w:rPr>
                <w:rFonts w:hint="eastAsia" w:ascii="宋体" w:hAnsi="宋体" w:eastAsia="宋体" w:cs="宋体"/>
                <w:i w:val="0"/>
                <w:color w:val="000000"/>
                <w:sz w:val="20"/>
                <w:szCs w:val="20"/>
                <w:u w:val="none"/>
              </w:rPr>
            </w:pPr>
          </w:p>
        </w:tc>
        <w:tc>
          <w:tcPr>
            <w:tcW w:w="66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59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44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47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59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33"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69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805" w:type="dxa"/>
            <w:tcBorders>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6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4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7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9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1,471.51</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三、国有资本经营财政拨款</w:t>
            </w: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1,213.42</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1,213.42</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69.94</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69.94</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36.43</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36.43</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85.91</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85.91</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1,471.51</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1,405.70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1,405.70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65.82</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65.82</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43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05"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49"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33" w:type="dxa"/>
            <w:tcBorders>
              <w:bottom w:val="single" w:color="000000" w:sz="18"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69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1,471.51</w:t>
            </w:r>
          </w:p>
        </w:tc>
        <w:tc>
          <w:tcPr>
            <w:tcW w:w="2805" w:type="dxa"/>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6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1,471.51</w:t>
            </w:r>
          </w:p>
        </w:tc>
        <w:tc>
          <w:tcPr>
            <w:tcW w:w="144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1,471.51</w:t>
            </w:r>
          </w:p>
        </w:tc>
        <w:tc>
          <w:tcPr>
            <w:tcW w:w="147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59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2540" w:type="dxa"/>
            <w:gridSpan w:val="8"/>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591" w:type="dxa"/>
            <w:shd w:val="clear" w:color="auto" w:fill="FFFFFF"/>
            <w:vAlign w:val="center"/>
          </w:tcPr>
          <w:p>
            <w:pPr>
              <w:jc w:val="left"/>
              <w:rPr>
                <w:rFonts w:hint="eastAsia" w:ascii="宋体" w:hAnsi="宋体" w:eastAsia="宋体" w:cs="宋体"/>
                <w:i w:val="0"/>
                <w:color w:val="000000"/>
                <w:sz w:val="20"/>
                <w:szCs w:val="20"/>
                <w:u w:val="none"/>
              </w:rPr>
            </w:pPr>
          </w:p>
        </w:tc>
      </w:tr>
    </w:tbl>
    <w:p>
      <w:pPr>
        <w:pStyle w:val="13"/>
        <w:spacing w:before="0" w:beforeAutospacing="0"/>
        <w:outlineLvl w:val="1"/>
        <w:rPr>
          <w:shd w:val="clear" w:color="auto" w:fill="FFFFFF"/>
        </w:rPr>
        <w:sectPr>
          <w:pgSz w:w="16851" w:h="11915"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26" w:charSpace="0"/>
        </w:sectPr>
      </w:pPr>
    </w:p>
    <w:p>
      <w:pPr>
        <w:pStyle w:val="13"/>
        <w:numPr>
          <w:ilvl w:val="0"/>
          <w:numId w:val="2"/>
        </w:numPr>
        <w:adjustRightInd w:val="0"/>
        <w:snapToGrid w:val="0"/>
        <w:spacing w:before="0" w:beforeAutospacing="0" w:after="0" w:afterAutospacing="0"/>
        <w:ind w:firstLine="480" w:firstLineChars="150"/>
        <w:outlineLvl w:val="1"/>
        <w:rPr>
          <w:rFonts w:hint="eastAsia" w:ascii="楷体_GB2312" w:hAnsi="楷体" w:eastAsia="楷体_GB2312" w:cs="楷体"/>
          <w:sz w:val="32"/>
          <w:szCs w:val="32"/>
          <w:shd w:val="clear" w:color="auto" w:fill="FFFFFF"/>
        </w:rPr>
      </w:pPr>
      <w:bookmarkStart w:id="9" w:name="_Toc32082"/>
      <w:r>
        <w:rPr>
          <w:rFonts w:hint="eastAsia" w:ascii="楷体_GB2312" w:hAnsi="楷体" w:eastAsia="楷体_GB2312" w:cs="楷体"/>
          <w:sz w:val="32"/>
          <w:szCs w:val="32"/>
          <w:shd w:val="clear" w:color="auto" w:fill="FFFFFF"/>
        </w:rPr>
        <w:t>一般公共预算财政拨款支出决算表</w:t>
      </w:r>
      <w:bookmarkEnd w:id="9"/>
    </w:p>
    <w:tbl>
      <w:tblPr>
        <w:tblStyle w:val="14"/>
        <w:tblpPr w:leftFromText="180" w:rightFromText="180" w:vertAnchor="text" w:horzAnchor="page" w:tblpX="1196" w:tblpY="383"/>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789"/>
        <w:gridCol w:w="240"/>
        <w:gridCol w:w="3224"/>
        <w:gridCol w:w="1770"/>
        <w:gridCol w:w="1635"/>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72" w:type="dxa"/>
            <w:shd w:val="clear" w:color="auto" w:fill="FFFFFF"/>
            <w:vAlign w:val="center"/>
          </w:tcPr>
          <w:p>
            <w:pPr>
              <w:jc w:val="left"/>
              <w:rPr>
                <w:rFonts w:hint="eastAsia" w:ascii="宋体" w:hAnsi="宋体" w:eastAsia="宋体" w:cs="宋体"/>
                <w:i w:val="0"/>
                <w:color w:val="000000"/>
                <w:sz w:val="18"/>
                <w:szCs w:val="18"/>
                <w:u w:val="none"/>
              </w:rPr>
            </w:pPr>
          </w:p>
        </w:tc>
        <w:tc>
          <w:tcPr>
            <w:tcW w:w="789" w:type="dxa"/>
            <w:shd w:val="clear" w:color="auto" w:fill="FFFFFF"/>
            <w:vAlign w:val="center"/>
          </w:tcPr>
          <w:p>
            <w:pPr>
              <w:jc w:val="left"/>
              <w:rPr>
                <w:rFonts w:hint="eastAsia" w:ascii="宋体" w:hAnsi="宋体" w:eastAsia="宋体" w:cs="宋体"/>
                <w:i w:val="0"/>
                <w:color w:val="000000"/>
                <w:sz w:val="18"/>
                <w:szCs w:val="18"/>
                <w:u w:val="none"/>
              </w:rPr>
            </w:pPr>
          </w:p>
        </w:tc>
        <w:tc>
          <w:tcPr>
            <w:tcW w:w="240" w:type="dxa"/>
            <w:shd w:val="clear" w:color="auto" w:fill="FFFFFF"/>
            <w:vAlign w:val="center"/>
          </w:tcPr>
          <w:p>
            <w:pPr>
              <w:jc w:val="left"/>
              <w:rPr>
                <w:rFonts w:hint="eastAsia" w:ascii="宋体" w:hAnsi="宋体" w:eastAsia="宋体" w:cs="宋体"/>
                <w:i w:val="0"/>
                <w:color w:val="000000"/>
                <w:sz w:val="18"/>
                <w:szCs w:val="18"/>
                <w:u w:val="none"/>
              </w:rPr>
            </w:pPr>
          </w:p>
        </w:tc>
        <w:tc>
          <w:tcPr>
            <w:tcW w:w="3224" w:type="dxa"/>
            <w:shd w:val="clear" w:color="auto" w:fill="FFFFFF"/>
            <w:vAlign w:val="center"/>
          </w:tcPr>
          <w:p>
            <w:pPr>
              <w:jc w:val="left"/>
              <w:rPr>
                <w:rFonts w:hint="eastAsia" w:ascii="宋体" w:hAnsi="宋体" w:eastAsia="宋体" w:cs="宋体"/>
                <w:i w:val="0"/>
                <w:color w:val="000000"/>
                <w:sz w:val="18"/>
                <w:szCs w:val="18"/>
                <w:u w:val="none"/>
              </w:rPr>
            </w:pPr>
          </w:p>
        </w:tc>
        <w:tc>
          <w:tcPr>
            <w:tcW w:w="1770" w:type="dxa"/>
            <w:shd w:val="clear" w:color="auto" w:fill="FFFFFF"/>
            <w:vAlign w:val="center"/>
          </w:tcPr>
          <w:p>
            <w:pPr>
              <w:jc w:val="left"/>
              <w:rPr>
                <w:rFonts w:hint="eastAsia" w:ascii="宋体" w:hAnsi="宋体" w:eastAsia="宋体" w:cs="宋体"/>
                <w:i w:val="0"/>
                <w:color w:val="000000"/>
                <w:sz w:val="18"/>
                <w:szCs w:val="18"/>
                <w:u w:val="none"/>
              </w:rPr>
            </w:pPr>
          </w:p>
        </w:tc>
        <w:tc>
          <w:tcPr>
            <w:tcW w:w="1635" w:type="dxa"/>
            <w:shd w:val="clear" w:color="auto" w:fill="FFFFFF"/>
            <w:vAlign w:val="center"/>
          </w:tcPr>
          <w:p>
            <w:pPr>
              <w:jc w:val="left"/>
              <w:rPr>
                <w:rFonts w:hint="eastAsia" w:ascii="宋体" w:hAnsi="宋体" w:eastAsia="宋体" w:cs="宋体"/>
                <w:i w:val="0"/>
                <w:color w:val="000000"/>
                <w:sz w:val="18"/>
                <w:szCs w:val="18"/>
                <w:u w:val="none"/>
              </w:rPr>
            </w:pPr>
          </w:p>
        </w:tc>
        <w:tc>
          <w:tcPr>
            <w:tcW w:w="1590"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725" w:type="dxa"/>
            <w:gridSpan w:val="4"/>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部门：双峰县人民检察院</w:t>
            </w:r>
          </w:p>
        </w:tc>
        <w:tc>
          <w:tcPr>
            <w:tcW w:w="1770"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2020年度</w:t>
            </w:r>
          </w:p>
        </w:tc>
        <w:tc>
          <w:tcPr>
            <w:tcW w:w="1635"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590" w:type="dxa"/>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w:t>
            </w:r>
            <w:r>
              <w:rPr>
                <w:rFonts w:hint="eastAsia" w:cs="宋体"/>
                <w:i w:val="0"/>
                <w:color w:val="000000"/>
                <w:kern w:val="0"/>
                <w:sz w:val="22"/>
                <w:szCs w:val="22"/>
                <w:u w:val="none"/>
                <w:lang w:val="en-US" w:eastAsia="zh-CN" w:bidi="ar"/>
              </w:rPr>
              <w:t>万</w:t>
            </w: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725" w:type="dxa"/>
            <w:gridSpan w:val="4"/>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95" w:type="dxa"/>
            <w:gridSpan w:val="3"/>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501" w:type="dxa"/>
            <w:gridSpan w:val="3"/>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224"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7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3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59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1501"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322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77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63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59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501"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322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77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63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59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725" w:type="dxa"/>
            <w:gridSpan w:val="4"/>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3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725" w:type="dxa"/>
            <w:gridSpan w:val="4"/>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1,405.70</w:t>
            </w:r>
          </w:p>
        </w:tc>
        <w:tc>
          <w:tcPr>
            <w:tcW w:w="16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1,350.84</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32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1,213.42</w:t>
            </w:r>
          </w:p>
        </w:tc>
        <w:tc>
          <w:tcPr>
            <w:tcW w:w="16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1,158.56</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20404</w:t>
            </w:r>
          </w:p>
        </w:tc>
        <w:tc>
          <w:tcPr>
            <w:tcW w:w="32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检察</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1,213.42</w:t>
            </w:r>
          </w:p>
        </w:tc>
        <w:tc>
          <w:tcPr>
            <w:tcW w:w="16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1,158.56</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2040401</w:t>
            </w:r>
          </w:p>
        </w:tc>
        <w:tc>
          <w:tcPr>
            <w:tcW w:w="3224"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1,115.07</w:t>
            </w:r>
          </w:p>
        </w:tc>
        <w:tc>
          <w:tcPr>
            <w:tcW w:w="16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1,115.07</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2040402</w:t>
            </w:r>
          </w:p>
        </w:tc>
        <w:tc>
          <w:tcPr>
            <w:tcW w:w="3224"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54.86</w:t>
            </w:r>
          </w:p>
        </w:tc>
        <w:tc>
          <w:tcPr>
            <w:tcW w:w="16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2040410</w:t>
            </w:r>
          </w:p>
        </w:tc>
        <w:tc>
          <w:tcPr>
            <w:tcW w:w="3224"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检察监督</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43.49</w:t>
            </w:r>
          </w:p>
        </w:tc>
        <w:tc>
          <w:tcPr>
            <w:tcW w:w="16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43.49</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2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69.94</w:t>
            </w:r>
          </w:p>
        </w:tc>
        <w:tc>
          <w:tcPr>
            <w:tcW w:w="16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69.94</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2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66.11</w:t>
            </w:r>
          </w:p>
        </w:tc>
        <w:tc>
          <w:tcPr>
            <w:tcW w:w="16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66.11</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224"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66.11</w:t>
            </w:r>
          </w:p>
        </w:tc>
        <w:tc>
          <w:tcPr>
            <w:tcW w:w="16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66.11</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32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w:t>
            </w:r>
          </w:p>
        </w:tc>
        <w:tc>
          <w:tcPr>
            <w:tcW w:w="16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3224"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w:t>
            </w:r>
          </w:p>
        </w:tc>
        <w:tc>
          <w:tcPr>
            <w:tcW w:w="16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2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36.43</w:t>
            </w:r>
          </w:p>
        </w:tc>
        <w:tc>
          <w:tcPr>
            <w:tcW w:w="16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36.43</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32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36.43</w:t>
            </w:r>
          </w:p>
        </w:tc>
        <w:tc>
          <w:tcPr>
            <w:tcW w:w="16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36.43</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224"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36.43</w:t>
            </w:r>
          </w:p>
        </w:tc>
        <w:tc>
          <w:tcPr>
            <w:tcW w:w="16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36.43</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2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6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2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77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63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59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50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224"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63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85.91</w:t>
            </w:r>
          </w:p>
        </w:tc>
        <w:tc>
          <w:tcPr>
            <w:tcW w:w="159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9720" w:type="dxa"/>
            <w:gridSpan w:val="7"/>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pStyle w:val="13"/>
        <w:numPr>
          <w:ilvl w:val="0"/>
          <w:numId w:val="0"/>
        </w:numPr>
        <w:adjustRightInd w:val="0"/>
        <w:snapToGrid w:val="0"/>
        <w:spacing w:before="0" w:beforeAutospacing="0" w:after="0" w:afterAutospacing="0"/>
        <w:outlineLvl w:val="1"/>
        <w:rPr>
          <w:rFonts w:hint="eastAsia" w:ascii="楷体_GB2312" w:hAnsi="楷体" w:eastAsia="楷体_GB2312" w:cs="楷体"/>
          <w:sz w:val="32"/>
          <w:szCs w:val="32"/>
          <w:shd w:val="clear" w:color="auto" w:fill="FFFFFF"/>
        </w:rPr>
      </w:pPr>
    </w:p>
    <w:p>
      <w:pPr>
        <w:pStyle w:val="13"/>
        <w:numPr>
          <w:ilvl w:val="0"/>
          <w:numId w:val="0"/>
        </w:numPr>
        <w:adjustRightInd w:val="0"/>
        <w:snapToGrid w:val="0"/>
        <w:spacing w:before="0" w:beforeAutospacing="0" w:after="0" w:afterAutospacing="0"/>
        <w:outlineLvl w:val="1"/>
        <w:rPr>
          <w:rFonts w:hint="eastAsia" w:ascii="楷体_GB2312" w:hAnsi="楷体" w:eastAsia="楷体_GB2312" w:cs="楷体"/>
          <w:sz w:val="32"/>
          <w:szCs w:val="32"/>
          <w:shd w:val="clear" w:color="auto" w:fill="FFFFFF"/>
        </w:rPr>
      </w:pPr>
    </w:p>
    <w:p>
      <w:pPr>
        <w:pStyle w:val="13"/>
        <w:numPr>
          <w:ilvl w:val="0"/>
          <w:numId w:val="0"/>
        </w:numPr>
        <w:adjustRightInd w:val="0"/>
        <w:snapToGrid w:val="0"/>
        <w:spacing w:before="0" w:beforeAutospacing="0" w:after="0" w:afterAutospacing="0"/>
        <w:outlineLvl w:val="1"/>
        <w:rPr>
          <w:rFonts w:hint="eastAsia" w:ascii="楷体_GB2312" w:hAnsi="楷体" w:eastAsia="楷体_GB2312" w:cs="楷体"/>
          <w:sz w:val="32"/>
          <w:szCs w:val="32"/>
          <w:shd w:val="clear" w:color="auto" w:fill="FFFFFF"/>
        </w:rPr>
      </w:pPr>
    </w:p>
    <w:p>
      <w:pPr>
        <w:pStyle w:val="13"/>
        <w:numPr>
          <w:ilvl w:val="0"/>
          <w:numId w:val="0"/>
        </w:numPr>
        <w:adjustRightInd w:val="0"/>
        <w:snapToGrid w:val="0"/>
        <w:spacing w:before="0" w:beforeAutospacing="0" w:after="0" w:afterAutospacing="0"/>
        <w:outlineLvl w:val="1"/>
        <w:rPr>
          <w:rFonts w:hint="eastAsia" w:ascii="楷体_GB2312" w:hAnsi="楷体" w:eastAsia="楷体_GB2312" w:cs="楷体"/>
          <w:sz w:val="32"/>
          <w:szCs w:val="32"/>
          <w:shd w:val="clear" w:color="auto" w:fill="FFFFFF"/>
        </w:rPr>
      </w:pPr>
    </w:p>
    <w:p>
      <w:pPr>
        <w:pStyle w:val="13"/>
        <w:numPr>
          <w:ilvl w:val="0"/>
          <w:numId w:val="0"/>
        </w:numPr>
        <w:adjustRightInd w:val="0"/>
        <w:snapToGrid w:val="0"/>
        <w:spacing w:before="0" w:beforeAutospacing="0" w:after="0" w:afterAutospacing="0"/>
        <w:outlineLvl w:val="1"/>
        <w:rPr>
          <w:rFonts w:hint="eastAsia" w:ascii="楷体_GB2312" w:hAnsi="楷体" w:eastAsia="楷体_GB2312" w:cs="楷体"/>
          <w:sz w:val="32"/>
          <w:szCs w:val="32"/>
          <w:shd w:val="clear" w:color="auto" w:fill="FFFFFF"/>
        </w:rPr>
      </w:pPr>
    </w:p>
    <w:p>
      <w:pPr>
        <w:pStyle w:val="13"/>
        <w:spacing w:before="0" w:beforeAutospacing="0"/>
        <w:outlineLvl w:val="1"/>
        <w:rPr>
          <w:shd w:val="clear" w:color="auto" w:fill="FFFFFF"/>
        </w:rPr>
        <w:sectPr>
          <w:pgSz w:w="11915" w:h="16851"/>
          <w:pgMar w:top="960" w:right="1800" w:bottom="1296"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3"/>
        <w:numPr>
          <w:ilvl w:val="0"/>
          <w:numId w:val="0"/>
        </w:numPr>
        <w:spacing w:before="0" w:beforeAutospacing="0"/>
        <w:ind w:leftChars="150" w:firstLine="320" w:firstLineChars="100"/>
        <w:outlineLvl w:val="1"/>
        <w:rPr>
          <w:rFonts w:hint="eastAsia" w:ascii="楷体_GB2312" w:hAnsi="楷体" w:eastAsia="楷体_GB2312" w:cs="楷体"/>
          <w:sz w:val="32"/>
          <w:szCs w:val="32"/>
          <w:shd w:val="clear" w:color="auto" w:fill="FFFFFF"/>
        </w:rPr>
      </w:pPr>
      <w:bookmarkStart w:id="10" w:name="_Toc21182"/>
      <w:r>
        <w:rPr>
          <w:rFonts w:hint="eastAsia" w:ascii="楷体_GB2312" w:hAnsi="楷体" w:eastAsia="楷体_GB2312" w:cs="楷体"/>
          <w:sz w:val="32"/>
          <w:szCs w:val="32"/>
          <w:shd w:val="clear" w:color="auto" w:fill="FFFFFF"/>
          <w:lang w:eastAsia="zh-CN"/>
        </w:rPr>
        <w:t>六、</w:t>
      </w:r>
      <w:r>
        <w:rPr>
          <w:rFonts w:hint="eastAsia" w:ascii="楷体_GB2312" w:hAnsi="楷体" w:eastAsia="楷体_GB2312" w:cs="楷体"/>
          <w:sz w:val="32"/>
          <w:szCs w:val="32"/>
          <w:shd w:val="clear" w:color="auto" w:fill="FFFFFF"/>
        </w:rPr>
        <w:t>一般公共预算财政拨款基本支出决算表</w:t>
      </w:r>
      <w:bookmarkEnd w:id="10"/>
    </w:p>
    <w:tbl>
      <w:tblPr>
        <w:tblStyle w:val="14"/>
        <w:tblW w:w="14235" w:type="dxa"/>
        <w:tblInd w:w="-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5"/>
        <w:gridCol w:w="2565"/>
        <w:gridCol w:w="1485"/>
        <w:gridCol w:w="960"/>
        <w:gridCol w:w="2325"/>
        <w:gridCol w:w="1380"/>
        <w:gridCol w:w="915"/>
        <w:gridCol w:w="23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shd w:val="clear" w:color="auto" w:fill="FFFFFF"/>
            <w:vAlign w:val="center"/>
          </w:tcPr>
          <w:p>
            <w:pPr>
              <w:jc w:val="left"/>
              <w:rPr>
                <w:rFonts w:hint="eastAsia" w:ascii="宋体" w:hAnsi="宋体" w:eastAsia="宋体" w:cs="宋体"/>
                <w:i w:val="0"/>
                <w:color w:val="000000"/>
                <w:sz w:val="18"/>
                <w:szCs w:val="18"/>
                <w:u w:val="none"/>
              </w:rPr>
            </w:pPr>
          </w:p>
        </w:tc>
        <w:tc>
          <w:tcPr>
            <w:tcW w:w="2565" w:type="dxa"/>
            <w:shd w:val="clear" w:color="auto" w:fill="FFFFFF"/>
            <w:vAlign w:val="center"/>
          </w:tcPr>
          <w:p>
            <w:pPr>
              <w:jc w:val="left"/>
              <w:rPr>
                <w:rFonts w:hint="eastAsia" w:ascii="宋体" w:hAnsi="宋体" w:eastAsia="宋体" w:cs="宋体"/>
                <w:i w:val="0"/>
                <w:color w:val="000000"/>
                <w:sz w:val="18"/>
                <w:szCs w:val="18"/>
                <w:u w:val="none"/>
              </w:rPr>
            </w:pPr>
          </w:p>
        </w:tc>
        <w:tc>
          <w:tcPr>
            <w:tcW w:w="1485" w:type="dxa"/>
            <w:shd w:val="clear" w:color="auto" w:fill="FFFFFF"/>
            <w:vAlign w:val="center"/>
          </w:tcPr>
          <w:p>
            <w:pPr>
              <w:jc w:val="left"/>
              <w:rPr>
                <w:rFonts w:hint="eastAsia" w:ascii="宋体" w:hAnsi="宋体" w:eastAsia="宋体" w:cs="宋体"/>
                <w:i w:val="0"/>
                <w:color w:val="000000"/>
                <w:sz w:val="18"/>
                <w:szCs w:val="18"/>
                <w:u w:val="none"/>
              </w:rPr>
            </w:pPr>
          </w:p>
        </w:tc>
        <w:tc>
          <w:tcPr>
            <w:tcW w:w="960" w:type="dxa"/>
            <w:shd w:val="clear" w:color="auto" w:fill="FFFFFF"/>
            <w:vAlign w:val="center"/>
          </w:tcPr>
          <w:p>
            <w:pPr>
              <w:jc w:val="left"/>
              <w:rPr>
                <w:rFonts w:hint="eastAsia" w:ascii="宋体" w:hAnsi="宋体" w:eastAsia="宋体" w:cs="宋体"/>
                <w:i w:val="0"/>
                <w:color w:val="000000"/>
                <w:sz w:val="18"/>
                <w:szCs w:val="18"/>
                <w:u w:val="none"/>
              </w:rPr>
            </w:pPr>
          </w:p>
        </w:tc>
        <w:tc>
          <w:tcPr>
            <w:tcW w:w="2325" w:type="dxa"/>
            <w:shd w:val="clear" w:color="auto" w:fill="FFFFFF"/>
            <w:vAlign w:val="center"/>
          </w:tcPr>
          <w:p>
            <w:pPr>
              <w:jc w:val="left"/>
              <w:rPr>
                <w:rFonts w:hint="eastAsia" w:ascii="宋体" w:hAnsi="宋体" w:eastAsia="宋体" w:cs="宋体"/>
                <w:i w:val="0"/>
                <w:color w:val="000000"/>
                <w:sz w:val="18"/>
                <w:szCs w:val="18"/>
                <w:u w:val="none"/>
              </w:rPr>
            </w:pPr>
          </w:p>
        </w:tc>
        <w:tc>
          <w:tcPr>
            <w:tcW w:w="1380" w:type="dxa"/>
            <w:shd w:val="clear" w:color="auto" w:fill="FFFFFF"/>
            <w:vAlign w:val="center"/>
          </w:tcPr>
          <w:p>
            <w:pPr>
              <w:jc w:val="left"/>
              <w:rPr>
                <w:rFonts w:hint="eastAsia" w:ascii="宋体" w:hAnsi="宋体" w:eastAsia="宋体" w:cs="宋体"/>
                <w:i w:val="0"/>
                <w:color w:val="000000"/>
                <w:sz w:val="18"/>
                <w:szCs w:val="18"/>
                <w:u w:val="none"/>
              </w:rPr>
            </w:pPr>
          </w:p>
        </w:tc>
        <w:tc>
          <w:tcPr>
            <w:tcW w:w="915" w:type="dxa"/>
            <w:shd w:val="clear" w:color="auto" w:fill="FFFFFF"/>
            <w:vAlign w:val="center"/>
          </w:tcPr>
          <w:p>
            <w:pPr>
              <w:jc w:val="left"/>
              <w:rPr>
                <w:rFonts w:hint="eastAsia" w:ascii="宋体" w:hAnsi="宋体" w:eastAsia="宋体" w:cs="宋体"/>
                <w:i w:val="0"/>
                <w:color w:val="000000"/>
                <w:sz w:val="18"/>
                <w:szCs w:val="18"/>
                <w:u w:val="none"/>
              </w:rPr>
            </w:pPr>
          </w:p>
        </w:tc>
        <w:tc>
          <w:tcPr>
            <w:tcW w:w="2325" w:type="dxa"/>
            <w:shd w:val="clear" w:color="auto" w:fill="FFFFFF"/>
            <w:vAlign w:val="center"/>
          </w:tcPr>
          <w:p>
            <w:pPr>
              <w:jc w:val="left"/>
              <w:rPr>
                <w:rFonts w:hint="eastAsia" w:ascii="宋体" w:hAnsi="宋体" w:eastAsia="宋体" w:cs="宋体"/>
                <w:i w:val="0"/>
                <w:color w:val="000000"/>
                <w:sz w:val="18"/>
                <w:szCs w:val="18"/>
                <w:u w:val="none"/>
              </w:rPr>
            </w:pPr>
          </w:p>
        </w:tc>
        <w:tc>
          <w:tcPr>
            <w:tcW w:w="1365"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80" w:type="dxa"/>
            <w:gridSpan w:val="2"/>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部门：双峰县人民检察院</w:t>
            </w:r>
          </w:p>
        </w:tc>
        <w:tc>
          <w:tcPr>
            <w:tcW w:w="1485"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960"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2325" w:type="dxa"/>
            <w:tcBorders>
              <w:bottom w:val="single" w:color="80808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380"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915"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2325"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365" w:type="dxa"/>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965"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9270" w:type="dxa"/>
            <w:gridSpan w:val="6"/>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915" w:type="dxa"/>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56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8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96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32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8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91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32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6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915" w:type="dxa"/>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256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48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96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232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38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91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232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36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867.94</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467.00</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238.76</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31.26</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178.73</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19.48</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146.43</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60.65</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12.21</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17.39</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36.43</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20.52</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53.96</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89.40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31.18</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113.71</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28.78</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35.88</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24.54</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91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48.17</w:t>
            </w:r>
          </w:p>
        </w:tc>
        <w:tc>
          <w:tcPr>
            <w:tcW w:w="915"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2325"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56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2325"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91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2565"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148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325"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109.41</w:t>
            </w:r>
          </w:p>
        </w:tc>
        <w:tc>
          <w:tcPr>
            <w:tcW w:w="915"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2325"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480" w:type="dxa"/>
            <w:gridSpan w:val="2"/>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485" w:type="dxa"/>
            <w:tcBorders>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883.84</w:t>
            </w:r>
          </w:p>
        </w:tc>
        <w:tc>
          <w:tcPr>
            <w:tcW w:w="7905" w:type="dxa"/>
            <w:gridSpan w:val="5"/>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3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4235" w:type="dxa"/>
            <w:gridSpan w:val="9"/>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pStyle w:val="13"/>
        <w:numPr>
          <w:ilvl w:val="0"/>
          <w:numId w:val="0"/>
        </w:numPr>
        <w:spacing w:before="0" w:beforeAutospacing="0"/>
        <w:ind w:leftChars="150"/>
        <w:outlineLvl w:val="1"/>
        <w:rPr>
          <w:rFonts w:hint="eastAsia" w:ascii="楷体_GB2312" w:hAnsi="楷体" w:eastAsia="楷体_GB2312" w:cs="楷体"/>
          <w:sz w:val="32"/>
          <w:szCs w:val="32"/>
          <w:shd w:val="clear" w:color="auto" w:fill="FFFFFF"/>
          <w:lang w:eastAsia="zh-CN"/>
        </w:rPr>
      </w:pPr>
    </w:p>
    <w:p>
      <w:pPr>
        <w:pStyle w:val="13"/>
        <w:numPr>
          <w:ilvl w:val="0"/>
          <w:numId w:val="0"/>
        </w:numPr>
        <w:spacing w:before="0" w:beforeAutospacing="0"/>
        <w:ind w:leftChars="150"/>
        <w:outlineLvl w:val="1"/>
        <w:rPr>
          <w:rFonts w:hint="eastAsia" w:ascii="楷体_GB2312" w:hAnsi="楷体" w:eastAsia="楷体_GB2312" w:cs="楷体"/>
          <w:sz w:val="32"/>
          <w:szCs w:val="32"/>
          <w:shd w:val="clear" w:color="auto" w:fill="FFFFFF"/>
          <w:lang w:eastAsia="zh-CN"/>
        </w:rPr>
      </w:pPr>
    </w:p>
    <w:p>
      <w:pPr>
        <w:pStyle w:val="13"/>
        <w:numPr>
          <w:ilvl w:val="0"/>
          <w:numId w:val="0"/>
        </w:numPr>
        <w:spacing w:before="0" w:beforeAutospacing="0"/>
        <w:ind w:leftChars="150"/>
        <w:outlineLvl w:val="1"/>
        <w:rPr>
          <w:rFonts w:hint="eastAsia" w:ascii="楷体_GB2312" w:hAnsi="楷体" w:eastAsia="楷体_GB2312" w:cs="楷体"/>
          <w:sz w:val="32"/>
          <w:szCs w:val="32"/>
          <w:shd w:val="clear" w:color="auto" w:fill="FFFFFF"/>
          <w:lang w:eastAsia="zh-CN"/>
        </w:r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bookmarkStart w:id="11" w:name="_Toc15088"/>
      <w:r>
        <w:rPr>
          <w:rFonts w:hint="eastAsia" w:ascii="楷体_GB2312" w:hAnsi="楷体" w:eastAsia="楷体_GB2312" w:cs="楷体"/>
          <w:sz w:val="32"/>
          <w:szCs w:val="32"/>
          <w:shd w:val="clear" w:color="auto" w:fill="FFFFFF"/>
        </w:rPr>
        <w:t>七、一般公共预算财政拨款“三公”经费支出决算表</w:t>
      </w:r>
      <w:bookmarkEnd w:id="11"/>
    </w:p>
    <w:tbl>
      <w:tblPr>
        <w:tblStyle w:val="14"/>
        <w:tblW w:w="15218" w:type="dxa"/>
        <w:tblInd w:w="-368" w:type="dxa"/>
        <w:tblLayout w:type="fixed"/>
        <w:tblCellMar>
          <w:top w:w="0" w:type="dxa"/>
          <w:left w:w="108" w:type="dxa"/>
          <w:bottom w:w="0" w:type="dxa"/>
          <w:right w:w="108" w:type="dxa"/>
        </w:tblCellMar>
      </w:tblPr>
      <w:tblGrid>
        <w:gridCol w:w="1305"/>
        <w:gridCol w:w="1335"/>
        <w:gridCol w:w="1440"/>
        <w:gridCol w:w="1410"/>
        <w:gridCol w:w="1260"/>
        <w:gridCol w:w="1185"/>
        <w:gridCol w:w="1230"/>
        <w:gridCol w:w="1020"/>
        <w:gridCol w:w="1230"/>
        <w:gridCol w:w="1320"/>
        <w:gridCol w:w="1231"/>
        <w:gridCol w:w="1252"/>
      </w:tblGrid>
      <w:tr>
        <w:tblPrEx>
          <w:tblCellMar>
            <w:top w:w="0" w:type="dxa"/>
            <w:left w:w="108" w:type="dxa"/>
            <w:bottom w:w="0" w:type="dxa"/>
            <w:right w:w="108" w:type="dxa"/>
          </w:tblCellMar>
        </w:tblPrEx>
        <w:trPr>
          <w:trHeight w:val="300" w:hRule="atLeast"/>
        </w:trPr>
        <w:tc>
          <w:tcPr>
            <w:tcW w:w="1305" w:type="dxa"/>
            <w:tcBorders>
              <w:top w:val="nil"/>
              <w:left w:val="nil"/>
              <w:bottom w:val="nil"/>
              <w:right w:val="nil"/>
            </w:tcBorders>
            <w:shd w:val="clear" w:color="000000" w:fill="FFFFFF"/>
            <w:vAlign w:val="center"/>
          </w:tcPr>
          <w:p>
            <w:pPr>
              <w:rPr>
                <w:rFonts w:cs="Arial"/>
                <w:sz w:val="22"/>
                <w:szCs w:val="22"/>
              </w:rPr>
            </w:pPr>
            <w:r>
              <w:rPr>
                <w:rFonts w:hint="eastAsia" w:cs="Arial"/>
                <w:sz w:val="22"/>
                <w:szCs w:val="22"/>
              </w:rPr>
              <w:t>　</w:t>
            </w:r>
          </w:p>
        </w:tc>
        <w:tc>
          <w:tcPr>
            <w:tcW w:w="1335" w:type="dxa"/>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1440" w:type="dxa"/>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1410" w:type="dxa"/>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1260" w:type="dxa"/>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1185" w:type="dxa"/>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1230" w:type="dxa"/>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1020" w:type="dxa"/>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1230" w:type="dxa"/>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1320" w:type="dxa"/>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1231" w:type="dxa"/>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1252" w:type="dxa"/>
            <w:tcBorders>
              <w:top w:val="nil"/>
              <w:left w:val="nil"/>
              <w:bottom w:val="nil"/>
            </w:tcBorders>
            <w:shd w:val="clear" w:color="000000" w:fill="FFFFFF"/>
            <w:vAlign w:val="center"/>
          </w:tcPr>
          <w:p>
            <w:pPr>
              <w:jc w:val="right"/>
              <w:rPr>
                <w:rFonts w:cs="Arial"/>
                <w:sz w:val="22"/>
                <w:szCs w:val="22"/>
              </w:rPr>
            </w:pPr>
            <w:r>
              <w:rPr>
                <w:rFonts w:hint="eastAsia" w:cs="Arial"/>
                <w:sz w:val="22"/>
                <w:szCs w:val="22"/>
              </w:rPr>
              <w:t>公开07表</w:t>
            </w:r>
          </w:p>
        </w:tc>
      </w:tr>
      <w:tr>
        <w:tblPrEx>
          <w:tblCellMar>
            <w:top w:w="0" w:type="dxa"/>
            <w:left w:w="108" w:type="dxa"/>
            <w:bottom w:w="0" w:type="dxa"/>
            <w:right w:w="108" w:type="dxa"/>
          </w:tblCellMar>
        </w:tblPrEx>
        <w:trPr>
          <w:trHeight w:val="300" w:hRule="atLeast"/>
        </w:trPr>
        <w:tc>
          <w:tcPr>
            <w:tcW w:w="2640" w:type="dxa"/>
            <w:gridSpan w:val="2"/>
            <w:tcBorders>
              <w:top w:val="nil"/>
              <w:left w:val="nil"/>
              <w:bottom w:val="single" w:color="808080" w:sz="4" w:space="0"/>
              <w:right w:val="nil"/>
            </w:tcBorders>
            <w:shd w:val="clear" w:color="000000" w:fill="FFFFFF"/>
            <w:vAlign w:val="center"/>
          </w:tcPr>
          <w:p>
            <w:pPr>
              <w:rPr>
                <w:rFonts w:cs="Arial"/>
                <w:sz w:val="22"/>
                <w:szCs w:val="22"/>
              </w:rPr>
            </w:pPr>
            <w:r>
              <w:rPr>
                <w:rFonts w:hint="eastAsia" w:cs="Arial"/>
                <w:sz w:val="22"/>
                <w:szCs w:val="22"/>
              </w:rPr>
              <w:t>部门：</w:t>
            </w:r>
            <w:r>
              <w:rPr>
                <w:rFonts w:hint="eastAsia" w:cs="Arial"/>
                <w:sz w:val="22"/>
                <w:szCs w:val="22"/>
                <w:lang w:eastAsia="zh-CN"/>
              </w:rPr>
              <w:t>双峰县</w:t>
            </w:r>
            <w:r>
              <w:rPr>
                <w:rFonts w:hint="eastAsia" w:cs="Arial"/>
                <w:sz w:val="22"/>
                <w:szCs w:val="22"/>
              </w:rPr>
              <w:t>人民检察院</w:t>
            </w:r>
          </w:p>
        </w:tc>
        <w:tc>
          <w:tcPr>
            <w:tcW w:w="1440" w:type="dxa"/>
            <w:tcBorders>
              <w:top w:val="nil"/>
              <w:left w:val="nil"/>
              <w:bottom w:val="single" w:color="808080" w:sz="4" w:space="0"/>
              <w:right w:val="nil"/>
            </w:tcBorders>
            <w:shd w:val="clear" w:color="000000" w:fill="FFFFFF"/>
            <w:vAlign w:val="center"/>
          </w:tcPr>
          <w:p>
            <w:pPr>
              <w:rPr>
                <w:rFonts w:cs="Arial"/>
                <w:sz w:val="18"/>
                <w:szCs w:val="18"/>
              </w:rPr>
            </w:pPr>
            <w:r>
              <w:rPr>
                <w:rFonts w:hint="eastAsia" w:cs="Arial"/>
                <w:sz w:val="18"/>
                <w:szCs w:val="18"/>
              </w:rPr>
              <w:t>　</w:t>
            </w:r>
          </w:p>
        </w:tc>
        <w:tc>
          <w:tcPr>
            <w:tcW w:w="1410" w:type="dxa"/>
            <w:tcBorders>
              <w:top w:val="nil"/>
              <w:left w:val="nil"/>
              <w:bottom w:val="single" w:color="808080" w:sz="4" w:space="0"/>
              <w:right w:val="nil"/>
            </w:tcBorders>
            <w:shd w:val="clear" w:color="000000" w:fill="FFFFFF"/>
            <w:vAlign w:val="center"/>
          </w:tcPr>
          <w:p>
            <w:pPr>
              <w:rPr>
                <w:rFonts w:cs="Arial"/>
                <w:sz w:val="18"/>
                <w:szCs w:val="18"/>
              </w:rPr>
            </w:pPr>
            <w:r>
              <w:rPr>
                <w:rFonts w:hint="eastAsia" w:cs="Arial"/>
                <w:sz w:val="18"/>
                <w:szCs w:val="18"/>
              </w:rPr>
              <w:t>　</w:t>
            </w:r>
          </w:p>
        </w:tc>
        <w:tc>
          <w:tcPr>
            <w:tcW w:w="1260" w:type="dxa"/>
            <w:tcBorders>
              <w:top w:val="nil"/>
              <w:left w:val="nil"/>
              <w:bottom w:val="single" w:color="808080" w:sz="4" w:space="0"/>
              <w:right w:val="nil"/>
            </w:tcBorders>
            <w:shd w:val="clear" w:color="000000" w:fill="FFFFFF"/>
            <w:vAlign w:val="center"/>
          </w:tcPr>
          <w:p>
            <w:pPr>
              <w:rPr>
                <w:rFonts w:cs="Arial"/>
                <w:sz w:val="18"/>
                <w:szCs w:val="18"/>
              </w:rPr>
            </w:pPr>
            <w:r>
              <w:rPr>
                <w:rFonts w:hint="eastAsia" w:cs="Arial"/>
                <w:sz w:val="18"/>
                <w:szCs w:val="18"/>
              </w:rPr>
              <w:t>　</w:t>
            </w:r>
          </w:p>
        </w:tc>
        <w:tc>
          <w:tcPr>
            <w:tcW w:w="1185" w:type="dxa"/>
            <w:tcBorders>
              <w:top w:val="nil"/>
              <w:left w:val="nil"/>
              <w:bottom w:val="single" w:color="808080" w:sz="4" w:space="0"/>
              <w:right w:val="nil"/>
            </w:tcBorders>
            <w:shd w:val="clear" w:color="000000" w:fill="FFFFFF"/>
            <w:vAlign w:val="center"/>
          </w:tcPr>
          <w:p>
            <w:pPr>
              <w:jc w:val="center"/>
              <w:rPr>
                <w:rFonts w:cs="Arial"/>
                <w:sz w:val="22"/>
                <w:szCs w:val="22"/>
              </w:rPr>
            </w:pPr>
            <w:r>
              <w:rPr>
                <w:rFonts w:hint="eastAsia" w:cs="Arial"/>
                <w:sz w:val="22"/>
                <w:szCs w:val="22"/>
              </w:rPr>
              <w:t>2020年度</w:t>
            </w:r>
          </w:p>
        </w:tc>
        <w:tc>
          <w:tcPr>
            <w:tcW w:w="1230" w:type="dxa"/>
            <w:tcBorders>
              <w:top w:val="nil"/>
              <w:left w:val="nil"/>
              <w:bottom w:val="single" w:color="auto" w:sz="4" w:space="0"/>
              <w:right w:val="nil"/>
            </w:tcBorders>
            <w:shd w:val="clear" w:color="000000" w:fill="FFFFFF"/>
            <w:vAlign w:val="center"/>
          </w:tcPr>
          <w:p>
            <w:pPr>
              <w:rPr>
                <w:rFonts w:cs="Arial"/>
                <w:sz w:val="18"/>
                <w:szCs w:val="18"/>
              </w:rPr>
            </w:pPr>
            <w:r>
              <w:rPr>
                <w:rFonts w:hint="eastAsia" w:cs="Arial"/>
                <w:sz w:val="18"/>
                <w:szCs w:val="18"/>
              </w:rPr>
              <w:t>　</w:t>
            </w:r>
          </w:p>
        </w:tc>
        <w:tc>
          <w:tcPr>
            <w:tcW w:w="1020" w:type="dxa"/>
            <w:tcBorders>
              <w:top w:val="nil"/>
              <w:left w:val="nil"/>
              <w:bottom w:val="single" w:color="auto" w:sz="4" w:space="0"/>
              <w:right w:val="nil"/>
            </w:tcBorders>
            <w:shd w:val="clear" w:color="000000" w:fill="FFFFFF"/>
            <w:vAlign w:val="center"/>
          </w:tcPr>
          <w:p>
            <w:pPr>
              <w:rPr>
                <w:rFonts w:cs="Arial"/>
                <w:sz w:val="18"/>
                <w:szCs w:val="18"/>
              </w:rPr>
            </w:pPr>
            <w:r>
              <w:rPr>
                <w:rFonts w:hint="eastAsia" w:cs="Arial"/>
                <w:sz w:val="18"/>
                <w:szCs w:val="18"/>
              </w:rPr>
              <w:t>　</w:t>
            </w:r>
          </w:p>
        </w:tc>
        <w:tc>
          <w:tcPr>
            <w:tcW w:w="1230" w:type="dxa"/>
            <w:tcBorders>
              <w:top w:val="nil"/>
              <w:left w:val="nil"/>
              <w:bottom w:val="single" w:color="auto" w:sz="4" w:space="0"/>
              <w:right w:val="nil"/>
            </w:tcBorders>
            <w:shd w:val="clear" w:color="000000" w:fill="FFFFFF"/>
            <w:vAlign w:val="center"/>
          </w:tcPr>
          <w:p>
            <w:pPr>
              <w:rPr>
                <w:rFonts w:cs="Arial"/>
                <w:sz w:val="18"/>
                <w:szCs w:val="18"/>
              </w:rPr>
            </w:pPr>
            <w:r>
              <w:rPr>
                <w:rFonts w:hint="eastAsia" w:cs="Arial"/>
                <w:sz w:val="18"/>
                <w:szCs w:val="18"/>
              </w:rPr>
              <w:t>　</w:t>
            </w:r>
          </w:p>
        </w:tc>
        <w:tc>
          <w:tcPr>
            <w:tcW w:w="1320" w:type="dxa"/>
            <w:tcBorders>
              <w:top w:val="nil"/>
              <w:left w:val="nil"/>
              <w:bottom w:val="single" w:color="auto" w:sz="4" w:space="0"/>
              <w:right w:val="nil"/>
            </w:tcBorders>
            <w:shd w:val="clear" w:color="000000" w:fill="FFFFFF"/>
            <w:vAlign w:val="center"/>
          </w:tcPr>
          <w:p>
            <w:pPr>
              <w:rPr>
                <w:rFonts w:cs="Arial"/>
                <w:sz w:val="18"/>
                <w:szCs w:val="18"/>
              </w:rPr>
            </w:pPr>
            <w:r>
              <w:rPr>
                <w:rFonts w:hint="eastAsia" w:cs="Arial"/>
                <w:sz w:val="18"/>
                <w:szCs w:val="18"/>
              </w:rPr>
              <w:t>　</w:t>
            </w:r>
          </w:p>
        </w:tc>
        <w:tc>
          <w:tcPr>
            <w:tcW w:w="2483" w:type="dxa"/>
            <w:gridSpan w:val="2"/>
            <w:tcBorders>
              <w:top w:val="nil"/>
              <w:left w:val="nil"/>
              <w:bottom w:val="single" w:color="auto" w:sz="4" w:space="0"/>
            </w:tcBorders>
            <w:shd w:val="clear" w:color="000000" w:fill="FFFFFF"/>
            <w:vAlign w:val="center"/>
          </w:tcPr>
          <w:p>
            <w:pPr>
              <w:jc w:val="right"/>
              <w:rPr>
                <w:rFonts w:cs="Arial"/>
                <w:sz w:val="22"/>
                <w:szCs w:val="22"/>
              </w:rPr>
            </w:pPr>
            <w:r>
              <w:rPr>
                <w:rFonts w:hint="eastAsia" w:cs="Arial"/>
                <w:sz w:val="18"/>
                <w:szCs w:val="18"/>
              </w:rPr>
              <w:t>　</w:t>
            </w:r>
            <w:r>
              <w:rPr>
                <w:rFonts w:hint="eastAsia" w:cs="Arial"/>
                <w:sz w:val="22"/>
                <w:szCs w:val="22"/>
              </w:rPr>
              <w:t>金额单位：</w:t>
            </w:r>
            <w:r>
              <w:rPr>
                <w:rFonts w:hint="eastAsia" w:cs="Arial"/>
                <w:sz w:val="22"/>
                <w:szCs w:val="22"/>
                <w:lang w:eastAsia="zh-CN"/>
              </w:rPr>
              <w:t>万</w:t>
            </w:r>
            <w:r>
              <w:rPr>
                <w:rFonts w:hint="eastAsia" w:cs="Arial"/>
                <w:sz w:val="22"/>
                <w:szCs w:val="22"/>
              </w:rPr>
              <w:t>元</w:t>
            </w:r>
          </w:p>
        </w:tc>
      </w:tr>
      <w:tr>
        <w:tblPrEx>
          <w:tblCellMar>
            <w:top w:w="0" w:type="dxa"/>
            <w:left w:w="108" w:type="dxa"/>
            <w:bottom w:w="0" w:type="dxa"/>
            <w:right w:w="108" w:type="dxa"/>
          </w:tblCellMar>
        </w:tblPrEx>
        <w:trPr>
          <w:trHeight w:val="300" w:hRule="atLeast"/>
        </w:trPr>
        <w:tc>
          <w:tcPr>
            <w:tcW w:w="7935" w:type="dxa"/>
            <w:gridSpan w:val="6"/>
            <w:tcBorders>
              <w:top w:val="nil"/>
              <w:left w:val="single" w:color="000000" w:sz="4" w:space="0"/>
              <w:bottom w:val="single" w:color="000000" w:sz="4" w:space="0"/>
              <w:right w:val="single" w:color="auto" w:sz="4" w:space="0"/>
            </w:tcBorders>
            <w:shd w:val="clear" w:color="000000" w:fill="C0C0C0"/>
            <w:vAlign w:val="center"/>
          </w:tcPr>
          <w:p>
            <w:pPr>
              <w:jc w:val="center"/>
              <w:rPr>
                <w:rFonts w:cs="Arial"/>
                <w:sz w:val="20"/>
                <w:szCs w:val="20"/>
              </w:rPr>
            </w:pPr>
            <w:r>
              <w:rPr>
                <w:rFonts w:hint="eastAsia" w:cs="Arial"/>
                <w:sz w:val="20"/>
                <w:szCs w:val="20"/>
              </w:rPr>
              <w:t>预算数</w:t>
            </w:r>
          </w:p>
        </w:tc>
        <w:tc>
          <w:tcPr>
            <w:tcW w:w="7283" w:type="dxa"/>
            <w:gridSpan w:val="6"/>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cs="Arial"/>
                <w:sz w:val="20"/>
                <w:szCs w:val="20"/>
              </w:rPr>
            </w:pPr>
            <w:r>
              <w:rPr>
                <w:rFonts w:hint="eastAsia" w:cs="Arial"/>
                <w:sz w:val="20"/>
                <w:szCs w:val="20"/>
              </w:rPr>
              <w:t>决算数</w:t>
            </w:r>
          </w:p>
        </w:tc>
      </w:tr>
      <w:tr>
        <w:tblPrEx>
          <w:tblCellMar>
            <w:top w:w="0" w:type="dxa"/>
            <w:left w:w="108" w:type="dxa"/>
            <w:bottom w:w="0" w:type="dxa"/>
            <w:right w:w="108" w:type="dxa"/>
          </w:tblCellMar>
        </w:tblPrEx>
        <w:trPr>
          <w:trHeight w:val="300" w:hRule="atLeast"/>
        </w:trPr>
        <w:tc>
          <w:tcPr>
            <w:tcW w:w="1305" w:type="dxa"/>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合计</w:t>
            </w:r>
          </w:p>
        </w:tc>
        <w:tc>
          <w:tcPr>
            <w:tcW w:w="1335" w:type="dxa"/>
            <w:vMerge w:val="restart"/>
            <w:tcBorders>
              <w:top w:val="nil"/>
              <w:left w:val="nil"/>
              <w:bottom w:val="single" w:color="000000" w:sz="4" w:space="0"/>
              <w:right w:val="single" w:color="000000" w:sz="4" w:space="0"/>
            </w:tcBorders>
            <w:shd w:val="clear" w:color="000000" w:fill="C0C0C0"/>
            <w:vAlign w:val="center"/>
          </w:tcPr>
          <w:p>
            <w:pPr>
              <w:jc w:val="center"/>
              <w:rPr>
                <w:rFonts w:hint="eastAsia" w:cs="Arial"/>
                <w:sz w:val="20"/>
                <w:szCs w:val="20"/>
              </w:rPr>
            </w:pPr>
            <w:r>
              <w:rPr>
                <w:rFonts w:hint="eastAsia" w:cs="Arial"/>
                <w:sz w:val="20"/>
                <w:szCs w:val="20"/>
              </w:rPr>
              <w:t>因公出国（境</w:t>
            </w:r>
          </w:p>
          <w:p>
            <w:pPr>
              <w:jc w:val="center"/>
              <w:rPr>
                <w:rFonts w:cs="Arial"/>
                <w:sz w:val="20"/>
                <w:szCs w:val="20"/>
              </w:rPr>
            </w:pPr>
            <w:r>
              <w:rPr>
                <w:rFonts w:hint="eastAsia" w:cs="Arial"/>
                <w:sz w:val="20"/>
                <w:szCs w:val="20"/>
              </w:rPr>
              <w:t>）费</w:t>
            </w:r>
          </w:p>
        </w:tc>
        <w:tc>
          <w:tcPr>
            <w:tcW w:w="4110" w:type="dxa"/>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公务用车购置及运行费</w:t>
            </w:r>
          </w:p>
        </w:tc>
        <w:tc>
          <w:tcPr>
            <w:tcW w:w="1185" w:type="dxa"/>
            <w:vMerge w:val="restart"/>
            <w:tcBorders>
              <w:top w:val="nil"/>
              <w:left w:val="nil"/>
              <w:right w:val="single" w:color="000000" w:sz="4" w:space="0"/>
            </w:tcBorders>
            <w:shd w:val="clear" w:color="000000" w:fill="C0C0C0"/>
            <w:vAlign w:val="center"/>
          </w:tcPr>
          <w:p>
            <w:pPr>
              <w:jc w:val="center"/>
              <w:rPr>
                <w:rFonts w:cs="Arial"/>
                <w:sz w:val="20"/>
                <w:szCs w:val="20"/>
              </w:rPr>
            </w:pPr>
            <w:r>
              <w:rPr>
                <w:rFonts w:hint="eastAsia" w:cs="Arial"/>
                <w:sz w:val="20"/>
                <w:szCs w:val="20"/>
              </w:rPr>
              <w:t>公务接待费</w:t>
            </w:r>
          </w:p>
        </w:tc>
        <w:tc>
          <w:tcPr>
            <w:tcW w:w="1230" w:type="dxa"/>
            <w:vMerge w:val="restart"/>
            <w:tcBorders>
              <w:top w:val="nil"/>
              <w:left w:val="nil"/>
              <w:right w:val="single" w:color="000000" w:sz="4" w:space="0"/>
            </w:tcBorders>
            <w:shd w:val="clear" w:color="000000" w:fill="C0C0C0"/>
            <w:vAlign w:val="center"/>
          </w:tcPr>
          <w:p>
            <w:pPr>
              <w:jc w:val="center"/>
              <w:rPr>
                <w:rFonts w:cs="Arial"/>
                <w:sz w:val="20"/>
                <w:szCs w:val="20"/>
              </w:rPr>
            </w:pPr>
            <w:r>
              <w:rPr>
                <w:rFonts w:hint="eastAsia" w:cs="Arial"/>
                <w:sz w:val="20"/>
                <w:szCs w:val="20"/>
              </w:rPr>
              <w:t>合计</w:t>
            </w:r>
          </w:p>
        </w:tc>
        <w:tc>
          <w:tcPr>
            <w:tcW w:w="1020" w:type="dxa"/>
            <w:vMerge w:val="restart"/>
            <w:tcBorders>
              <w:top w:val="nil"/>
              <w:left w:val="nil"/>
              <w:right w:val="single" w:color="000000" w:sz="4" w:space="0"/>
            </w:tcBorders>
            <w:shd w:val="clear" w:color="000000" w:fill="C0C0C0"/>
            <w:vAlign w:val="center"/>
          </w:tcPr>
          <w:p>
            <w:pPr>
              <w:jc w:val="center"/>
              <w:rPr>
                <w:rFonts w:cs="Arial"/>
                <w:sz w:val="20"/>
                <w:szCs w:val="20"/>
              </w:rPr>
            </w:pPr>
            <w:r>
              <w:rPr>
                <w:rFonts w:hint="eastAsia" w:cs="Arial"/>
                <w:sz w:val="20"/>
                <w:szCs w:val="20"/>
              </w:rPr>
              <w:t>因公出国（境）费</w:t>
            </w:r>
          </w:p>
        </w:tc>
        <w:tc>
          <w:tcPr>
            <w:tcW w:w="3781" w:type="dxa"/>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公务用车购置及运行费</w:t>
            </w:r>
          </w:p>
        </w:tc>
        <w:tc>
          <w:tcPr>
            <w:tcW w:w="1252" w:type="dxa"/>
            <w:vMerge w:val="restart"/>
            <w:tcBorders>
              <w:top w:val="nil"/>
              <w:left w:val="nil"/>
              <w:right w:val="single" w:color="000000" w:sz="4" w:space="0"/>
            </w:tcBorders>
            <w:shd w:val="clear" w:color="000000" w:fill="C0C0C0"/>
            <w:vAlign w:val="center"/>
          </w:tcPr>
          <w:p>
            <w:pPr>
              <w:jc w:val="center"/>
              <w:rPr>
                <w:rFonts w:cs="Arial"/>
                <w:sz w:val="20"/>
                <w:szCs w:val="20"/>
              </w:rPr>
            </w:pPr>
            <w:r>
              <w:rPr>
                <w:rFonts w:hint="eastAsia" w:cs="Arial"/>
                <w:sz w:val="20"/>
                <w:szCs w:val="20"/>
              </w:rPr>
              <w:t>公务接待费</w:t>
            </w:r>
          </w:p>
        </w:tc>
      </w:tr>
      <w:tr>
        <w:tblPrEx>
          <w:tblCellMar>
            <w:top w:w="0" w:type="dxa"/>
            <w:left w:w="108" w:type="dxa"/>
            <w:bottom w:w="0" w:type="dxa"/>
            <w:right w:w="108" w:type="dxa"/>
          </w:tblCellMar>
        </w:tblPrEx>
        <w:trPr>
          <w:trHeight w:val="600" w:hRule="atLeast"/>
        </w:trPr>
        <w:tc>
          <w:tcPr>
            <w:tcW w:w="1305" w:type="dxa"/>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1335"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440"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小计</w:t>
            </w:r>
          </w:p>
        </w:tc>
        <w:tc>
          <w:tcPr>
            <w:tcW w:w="1410"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公务用车购置费</w:t>
            </w:r>
          </w:p>
        </w:tc>
        <w:tc>
          <w:tcPr>
            <w:tcW w:w="1260"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公务用车运行费</w:t>
            </w:r>
          </w:p>
        </w:tc>
        <w:tc>
          <w:tcPr>
            <w:tcW w:w="1185" w:type="dxa"/>
            <w:vMerge w:val="continue"/>
            <w:tcBorders>
              <w:left w:val="nil"/>
              <w:bottom w:val="single" w:color="000000" w:sz="4" w:space="0"/>
              <w:right w:val="single" w:color="000000" w:sz="4" w:space="0"/>
            </w:tcBorders>
            <w:vAlign w:val="center"/>
          </w:tcPr>
          <w:p>
            <w:pPr>
              <w:rPr>
                <w:rFonts w:cs="Arial"/>
                <w:sz w:val="20"/>
                <w:szCs w:val="20"/>
              </w:rPr>
            </w:pPr>
          </w:p>
        </w:tc>
        <w:tc>
          <w:tcPr>
            <w:tcW w:w="1230" w:type="dxa"/>
            <w:vMerge w:val="continue"/>
            <w:tcBorders>
              <w:left w:val="nil"/>
              <w:bottom w:val="single" w:color="000000" w:sz="4" w:space="0"/>
              <w:right w:val="single" w:color="000000" w:sz="4" w:space="0"/>
            </w:tcBorders>
            <w:vAlign w:val="center"/>
          </w:tcPr>
          <w:p>
            <w:pPr>
              <w:rPr>
                <w:rFonts w:cs="Arial"/>
                <w:sz w:val="20"/>
                <w:szCs w:val="20"/>
              </w:rPr>
            </w:pPr>
          </w:p>
        </w:tc>
        <w:tc>
          <w:tcPr>
            <w:tcW w:w="1020" w:type="dxa"/>
            <w:vMerge w:val="continue"/>
            <w:tcBorders>
              <w:left w:val="nil"/>
              <w:bottom w:val="single" w:color="000000" w:sz="4" w:space="0"/>
              <w:right w:val="single" w:color="000000" w:sz="4" w:space="0"/>
            </w:tcBorders>
            <w:vAlign w:val="center"/>
          </w:tcPr>
          <w:p>
            <w:pPr>
              <w:rPr>
                <w:rFonts w:cs="Arial"/>
                <w:sz w:val="20"/>
                <w:szCs w:val="20"/>
              </w:rPr>
            </w:pPr>
          </w:p>
        </w:tc>
        <w:tc>
          <w:tcPr>
            <w:tcW w:w="1230"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小计</w:t>
            </w:r>
          </w:p>
        </w:tc>
        <w:tc>
          <w:tcPr>
            <w:tcW w:w="1320"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公务用车购置费</w:t>
            </w:r>
          </w:p>
        </w:tc>
        <w:tc>
          <w:tcPr>
            <w:tcW w:w="1231"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公务用车运行费</w:t>
            </w:r>
          </w:p>
        </w:tc>
        <w:tc>
          <w:tcPr>
            <w:tcW w:w="1252" w:type="dxa"/>
            <w:vMerge w:val="continue"/>
            <w:tcBorders>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1305" w:type="dxa"/>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w:t>
            </w:r>
          </w:p>
        </w:tc>
        <w:tc>
          <w:tcPr>
            <w:tcW w:w="1335"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2</w:t>
            </w:r>
          </w:p>
        </w:tc>
        <w:tc>
          <w:tcPr>
            <w:tcW w:w="1440"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3</w:t>
            </w:r>
          </w:p>
        </w:tc>
        <w:tc>
          <w:tcPr>
            <w:tcW w:w="1410"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4</w:t>
            </w:r>
          </w:p>
        </w:tc>
        <w:tc>
          <w:tcPr>
            <w:tcW w:w="1260"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5</w:t>
            </w:r>
          </w:p>
        </w:tc>
        <w:tc>
          <w:tcPr>
            <w:tcW w:w="1185"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6</w:t>
            </w:r>
          </w:p>
        </w:tc>
        <w:tc>
          <w:tcPr>
            <w:tcW w:w="1230"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7</w:t>
            </w:r>
          </w:p>
        </w:tc>
        <w:tc>
          <w:tcPr>
            <w:tcW w:w="1020"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8</w:t>
            </w:r>
          </w:p>
        </w:tc>
        <w:tc>
          <w:tcPr>
            <w:tcW w:w="1230"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9</w:t>
            </w:r>
          </w:p>
        </w:tc>
        <w:tc>
          <w:tcPr>
            <w:tcW w:w="1320"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10</w:t>
            </w:r>
          </w:p>
        </w:tc>
        <w:tc>
          <w:tcPr>
            <w:tcW w:w="1231"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11</w:t>
            </w:r>
          </w:p>
        </w:tc>
        <w:tc>
          <w:tcPr>
            <w:tcW w:w="1252"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12</w:t>
            </w:r>
          </w:p>
        </w:tc>
      </w:tr>
      <w:tr>
        <w:tblPrEx>
          <w:tblCellMar>
            <w:top w:w="0" w:type="dxa"/>
            <w:left w:w="108" w:type="dxa"/>
            <w:bottom w:w="0" w:type="dxa"/>
            <w:right w:w="108" w:type="dxa"/>
          </w:tblCellMar>
        </w:tblPrEx>
        <w:trPr>
          <w:trHeight w:val="300" w:hRule="atLeast"/>
        </w:trPr>
        <w:tc>
          <w:tcPr>
            <w:tcW w:w="1305" w:type="dxa"/>
            <w:tcBorders>
              <w:top w:val="nil"/>
              <w:left w:val="single" w:color="000000" w:sz="4" w:space="0"/>
              <w:bottom w:val="single" w:color="000000" w:sz="4" w:space="0"/>
              <w:right w:val="single" w:color="000000" w:sz="4" w:space="0"/>
            </w:tcBorders>
            <w:shd w:val="clear" w:color="000000" w:fill="00FF00"/>
            <w:vAlign w:val="center"/>
          </w:tcPr>
          <w:p>
            <w:pPr>
              <w:keepNext w:val="0"/>
              <w:keepLines w:val="0"/>
              <w:widowControl/>
              <w:suppressLineNumbers w:val="0"/>
              <w:jc w:val="right"/>
              <w:textAlignment w:val="center"/>
              <w:rPr>
                <w:rFonts w:hint="eastAsia" w:eastAsia="宋体" w:cs="Arial"/>
                <w:sz w:val="20"/>
                <w:szCs w:val="20"/>
                <w:lang w:val="en-US" w:eastAsia="zh-CN"/>
              </w:rPr>
            </w:pPr>
            <w:r>
              <w:rPr>
                <w:rFonts w:hint="eastAsia" w:ascii="宋体" w:hAnsi="宋体" w:eastAsia="宋体" w:cs="宋体"/>
                <w:i w:val="0"/>
                <w:color w:val="000000"/>
                <w:kern w:val="0"/>
                <w:sz w:val="20"/>
                <w:szCs w:val="20"/>
                <w:u w:val="none"/>
                <w:lang w:val="en-US" w:eastAsia="zh-CN" w:bidi="ar"/>
              </w:rPr>
              <w:t>47.50</w:t>
            </w:r>
          </w:p>
        </w:tc>
        <w:tc>
          <w:tcPr>
            <w:tcW w:w="133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000000" w:fill="00FF00"/>
            <w:vAlign w:val="center"/>
          </w:tcPr>
          <w:p>
            <w:pPr>
              <w:keepNext w:val="0"/>
              <w:keepLines w:val="0"/>
              <w:widowControl/>
              <w:suppressLineNumbers w:val="0"/>
              <w:jc w:val="right"/>
              <w:textAlignment w:val="center"/>
              <w:rPr>
                <w:rFonts w:hint="eastAsia" w:eastAsia="宋体" w:cs="Arial"/>
                <w:sz w:val="20"/>
                <w:szCs w:val="20"/>
                <w:lang w:val="en-US" w:eastAsia="zh-CN"/>
              </w:rPr>
            </w:pPr>
            <w:r>
              <w:rPr>
                <w:rFonts w:hint="eastAsia" w:ascii="宋体" w:hAnsi="宋体" w:eastAsia="宋体" w:cs="宋体"/>
                <w:i w:val="0"/>
                <w:color w:val="000000"/>
                <w:kern w:val="0"/>
                <w:sz w:val="20"/>
                <w:szCs w:val="20"/>
                <w:u w:val="none"/>
                <w:lang w:val="en-US" w:eastAsia="zh-CN" w:bidi="ar"/>
              </w:rPr>
              <w:t>40.50</w:t>
            </w:r>
          </w:p>
        </w:tc>
        <w:tc>
          <w:tcPr>
            <w:tcW w:w="141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cs="Arial"/>
                <w:sz w:val="20"/>
                <w:szCs w:val="20"/>
                <w:lang w:val="en-US"/>
              </w:rPr>
            </w:pPr>
            <w:r>
              <w:rPr>
                <w:rFonts w:hint="eastAsia" w:ascii="宋体" w:hAnsi="宋体" w:eastAsia="宋体" w:cs="宋体"/>
                <w:i w:val="0"/>
                <w:color w:val="000000"/>
                <w:kern w:val="0"/>
                <w:sz w:val="20"/>
                <w:szCs w:val="20"/>
                <w:u w:val="none"/>
                <w:lang w:val="en-US" w:eastAsia="zh-CN" w:bidi="ar"/>
              </w:rPr>
              <w:t>18.00</w:t>
            </w:r>
          </w:p>
        </w:tc>
        <w:tc>
          <w:tcPr>
            <w:tcW w:w="126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cs="Arial"/>
                <w:sz w:val="20"/>
                <w:szCs w:val="20"/>
              </w:rPr>
            </w:pPr>
            <w:r>
              <w:rPr>
                <w:rFonts w:hint="eastAsia" w:ascii="宋体" w:hAnsi="宋体" w:eastAsia="宋体" w:cs="宋体"/>
                <w:i w:val="0"/>
                <w:color w:val="000000"/>
                <w:kern w:val="0"/>
                <w:sz w:val="20"/>
                <w:szCs w:val="20"/>
                <w:u w:val="none"/>
                <w:lang w:val="en-US" w:eastAsia="zh-CN" w:bidi="ar"/>
              </w:rPr>
              <w:t>22.50</w:t>
            </w:r>
          </w:p>
        </w:tc>
        <w:tc>
          <w:tcPr>
            <w:tcW w:w="118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cs="Arial"/>
                <w:sz w:val="20"/>
                <w:szCs w:val="20"/>
              </w:rPr>
            </w:pPr>
            <w:r>
              <w:rPr>
                <w:rFonts w:hint="eastAsia" w:ascii="宋体" w:hAnsi="宋体" w:eastAsia="宋体" w:cs="宋体"/>
                <w:i w:val="0"/>
                <w:color w:val="000000"/>
                <w:kern w:val="0"/>
                <w:sz w:val="20"/>
                <w:szCs w:val="20"/>
                <w:u w:val="none"/>
                <w:lang w:val="en-US" w:eastAsia="zh-CN" w:bidi="ar"/>
              </w:rPr>
              <w:t>7.00</w:t>
            </w:r>
          </w:p>
        </w:tc>
        <w:tc>
          <w:tcPr>
            <w:tcW w:w="123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cs="Arial"/>
                <w:sz w:val="20"/>
                <w:szCs w:val="20"/>
              </w:rPr>
            </w:pPr>
            <w:r>
              <w:rPr>
                <w:rFonts w:hint="eastAsia" w:ascii="宋体" w:hAnsi="宋体" w:eastAsia="宋体" w:cs="宋体"/>
                <w:i w:val="0"/>
                <w:color w:val="000000"/>
                <w:kern w:val="0"/>
                <w:sz w:val="20"/>
                <w:szCs w:val="20"/>
                <w:u w:val="none"/>
                <w:lang w:val="en-US" w:eastAsia="zh-CN" w:bidi="ar"/>
              </w:rPr>
              <w:t>39.53</w:t>
            </w:r>
          </w:p>
        </w:tc>
        <w:tc>
          <w:tcPr>
            <w:tcW w:w="10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cs="Arial"/>
                <w:sz w:val="20"/>
                <w:szCs w:val="20"/>
              </w:rPr>
            </w:pPr>
            <w:r>
              <w:rPr>
                <w:rFonts w:hint="eastAsia" w:ascii="宋体" w:hAnsi="宋体" w:eastAsia="宋体" w:cs="宋体"/>
                <w:i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cs="Arial"/>
                <w:sz w:val="20"/>
                <w:szCs w:val="20"/>
              </w:rPr>
            </w:pPr>
            <w:r>
              <w:rPr>
                <w:rFonts w:hint="eastAsia" w:ascii="宋体" w:hAnsi="宋体" w:eastAsia="宋体" w:cs="宋体"/>
                <w:i w:val="0"/>
                <w:color w:val="000000"/>
                <w:kern w:val="0"/>
                <w:sz w:val="20"/>
                <w:szCs w:val="20"/>
                <w:u w:val="none"/>
                <w:lang w:val="en-US" w:eastAsia="zh-CN" w:bidi="ar"/>
              </w:rPr>
              <w:t>34.34</w:t>
            </w:r>
          </w:p>
        </w:tc>
        <w:tc>
          <w:tcPr>
            <w:tcW w:w="13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cs="Arial"/>
                <w:sz w:val="20"/>
                <w:szCs w:val="20"/>
              </w:rPr>
            </w:pPr>
            <w:r>
              <w:rPr>
                <w:rFonts w:hint="eastAsia" w:ascii="宋体" w:hAnsi="宋体" w:eastAsia="宋体" w:cs="宋体"/>
                <w:i w:val="0"/>
                <w:color w:val="000000"/>
                <w:kern w:val="0"/>
                <w:sz w:val="20"/>
                <w:szCs w:val="20"/>
                <w:u w:val="none"/>
                <w:lang w:val="en-US" w:eastAsia="zh-CN" w:bidi="ar"/>
              </w:rPr>
              <w:t>15.33</w:t>
            </w:r>
          </w:p>
        </w:tc>
        <w:tc>
          <w:tcPr>
            <w:tcW w:w="1231"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cs="Arial"/>
                <w:sz w:val="20"/>
                <w:szCs w:val="20"/>
              </w:rPr>
            </w:pPr>
            <w:r>
              <w:rPr>
                <w:rFonts w:hint="eastAsia" w:ascii="宋体" w:hAnsi="宋体" w:eastAsia="宋体" w:cs="宋体"/>
                <w:i w:val="0"/>
                <w:color w:val="000000"/>
                <w:kern w:val="0"/>
                <w:sz w:val="20"/>
                <w:szCs w:val="20"/>
                <w:u w:val="none"/>
                <w:lang w:val="en-US" w:eastAsia="zh-CN" w:bidi="ar"/>
              </w:rPr>
              <w:t>19.00</w:t>
            </w:r>
          </w:p>
        </w:tc>
        <w:tc>
          <w:tcPr>
            <w:tcW w:w="125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eastAsia" w:cs="Arial"/>
                <w:sz w:val="20"/>
                <w:szCs w:val="20"/>
              </w:rPr>
            </w:pPr>
            <w:r>
              <w:rPr>
                <w:rFonts w:hint="eastAsia" w:ascii="宋体" w:hAnsi="宋体" w:eastAsia="宋体" w:cs="宋体"/>
                <w:i w:val="0"/>
                <w:color w:val="000000"/>
                <w:kern w:val="0"/>
                <w:sz w:val="20"/>
                <w:szCs w:val="20"/>
                <w:u w:val="none"/>
                <w:lang w:val="en-US" w:eastAsia="zh-CN" w:bidi="ar"/>
              </w:rPr>
              <w:t>5.19</w:t>
            </w:r>
          </w:p>
        </w:tc>
      </w:tr>
      <w:tr>
        <w:tblPrEx>
          <w:tblCellMar>
            <w:top w:w="0" w:type="dxa"/>
            <w:left w:w="108" w:type="dxa"/>
            <w:bottom w:w="0" w:type="dxa"/>
            <w:right w:w="108" w:type="dxa"/>
          </w:tblCellMar>
        </w:tblPrEx>
        <w:trPr>
          <w:trHeight w:val="600" w:hRule="atLeast"/>
        </w:trPr>
        <w:tc>
          <w:tcPr>
            <w:tcW w:w="15218" w:type="dxa"/>
            <w:gridSpan w:val="12"/>
            <w:tcBorders>
              <w:top w:val="nil"/>
              <w:left w:val="nil"/>
              <w:bottom w:val="nil"/>
              <w:right w:val="nil"/>
            </w:tcBorders>
            <w:shd w:val="clear" w:color="000000" w:fill="FFFFFF"/>
            <w:vAlign w:val="center"/>
          </w:tcPr>
          <w:p>
            <w:pPr>
              <w:rPr>
                <w:rFonts w:cs="Arial"/>
                <w:sz w:val="20"/>
                <w:szCs w:val="20"/>
              </w:rPr>
            </w:pPr>
            <w:r>
              <w:rPr>
                <w:rFonts w:hint="eastAsia" w:cs="Arial"/>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13"/>
        <w:numPr>
          <w:ilvl w:val="0"/>
          <w:numId w:val="3"/>
        </w:numPr>
        <w:spacing w:before="0" w:beforeAutospacing="0"/>
        <w:outlineLvl w:val="1"/>
        <w:rPr>
          <w:shd w:val="clear" w:color="auto" w:fill="FFFFFF"/>
        </w:rPr>
        <w:sectPr>
          <w:pgSz w:w="16851" w:h="11915" w:orient="landscape"/>
          <w:pgMar w:top="1800" w:right="1731"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13"/>
        <w:spacing w:before="0" w:beforeAutospacing="0"/>
        <w:ind w:firstLine="480" w:firstLineChars="150"/>
        <w:outlineLvl w:val="1"/>
        <w:rPr>
          <w:rStyle w:val="16"/>
          <w:rFonts w:ascii="楷体_GB2312" w:eastAsia="楷体_GB2312"/>
          <w:b w:val="0"/>
          <w:sz w:val="32"/>
          <w:szCs w:val="32"/>
        </w:rPr>
      </w:pPr>
      <w:bookmarkStart w:id="12" w:name="_Toc16750"/>
      <w:r>
        <w:rPr>
          <w:rStyle w:val="16"/>
          <w:rFonts w:hint="eastAsia" w:ascii="楷体_GB2312" w:eastAsia="楷体_GB2312"/>
          <w:b w:val="0"/>
          <w:sz w:val="32"/>
          <w:szCs w:val="32"/>
        </w:rPr>
        <w:t>八、政府性基金预算财政拨款收入支出决算表</w:t>
      </w:r>
      <w:bookmarkEnd w:id="12"/>
    </w:p>
    <w:tbl>
      <w:tblPr>
        <w:tblStyle w:val="14"/>
        <w:tblW w:w="8345" w:type="dxa"/>
        <w:tblInd w:w="0" w:type="dxa"/>
        <w:tblLayout w:type="fixed"/>
        <w:tblCellMar>
          <w:top w:w="0" w:type="dxa"/>
          <w:left w:w="0" w:type="dxa"/>
          <w:bottom w:w="0" w:type="dxa"/>
          <w:right w:w="0" w:type="dxa"/>
        </w:tblCellMar>
      </w:tblPr>
      <w:tblGrid>
        <w:gridCol w:w="2486"/>
        <w:gridCol w:w="46"/>
        <w:gridCol w:w="46"/>
        <w:gridCol w:w="848"/>
        <w:gridCol w:w="1220"/>
        <w:gridCol w:w="648"/>
        <w:gridCol w:w="448"/>
        <w:gridCol w:w="648"/>
        <w:gridCol w:w="675"/>
        <w:gridCol w:w="1280"/>
      </w:tblGrid>
      <w:tr>
        <w:tblPrEx>
          <w:tblCellMar>
            <w:top w:w="0" w:type="dxa"/>
            <w:left w:w="0" w:type="dxa"/>
            <w:bottom w:w="0" w:type="dxa"/>
            <w:right w:w="0" w:type="dxa"/>
          </w:tblCellMar>
        </w:tblPrEx>
        <w:trPr>
          <w:trHeight w:val="300" w:hRule="atLeast"/>
        </w:trPr>
        <w:tc>
          <w:tcPr>
            <w:tcW w:w="2486" w:type="dxa"/>
            <w:tcBorders>
              <w:top w:val="nil"/>
              <w:left w:val="nil"/>
              <w:bottom w:val="nil"/>
              <w:right w:val="nil"/>
            </w:tcBorders>
            <w:shd w:val="clear" w:color="auto" w:fill="FFFFFF"/>
            <w:tcMar>
              <w:top w:w="15" w:type="dxa"/>
              <w:left w:w="15" w:type="dxa"/>
              <w:right w:w="15" w:type="dxa"/>
            </w:tcMar>
            <w:vAlign w:val="center"/>
          </w:tcPr>
          <w:p>
            <w:pPr>
              <w:rPr>
                <w:rFonts w:cs="宋体"/>
                <w:color w:val="000000"/>
                <w:sz w:val="18"/>
                <w:szCs w:val="18"/>
              </w:rPr>
            </w:pPr>
          </w:p>
        </w:tc>
        <w:tc>
          <w:tcPr>
            <w:tcW w:w="46" w:type="dxa"/>
            <w:tcBorders>
              <w:top w:val="nil"/>
              <w:left w:val="nil"/>
              <w:bottom w:val="nil"/>
              <w:right w:val="nil"/>
            </w:tcBorders>
            <w:shd w:val="clear" w:color="auto" w:fill="FFFFFF"/>
            <w:tcMar>
              <w:top w:w="15" w:type="dxa"/>
              <w:left w:w="15" w:type="dxa"/>
              <w:right w:w="15" w:type="dxa"/>
            </w:tcMar>
            <w:vAlign w:val="center"/>
          </w:tcPr>
          <w:p>
            <w:pPr>
              <w:rPr>
                <w:rFonts w:cs="宋体"/>
                <w:color w:val="000000"/>
                <w:sz w:val="18"/>
                <w:szCs w:val="18"/>
              </w:rPr>
            </w:pPr>
          </w:p>
        </w:tc>
        <w:tc>
          <w:tcPr>
            <w:tcW w:w="46" w:type="dxa"/>
            <w:tcBorders>
              <w:top w:val="nil"/>
              <w:left w:val="nil"/>
              <w:bottom w:val="nil"/>
              <w:right w:val="nil"/>
            </w:tcBorders>
            <w:shd w:val="clear" w:color="auto" w:fill="FFFFFF"/>
            <w:tcMar>
              <w:top w:w="15" w:type="dxa"/>
              <w:left w:w="15" w:type="dxa"/>
              <w:right w:w="15" w:type="dxa"/>
            </w:tcMar>
            <w:vAlign w:val="center"/>
          </w:tcPr>
          <w:p>
            <w:pPr>
              <w:rPr>
                <w:rFonts w:cs="宋体"/>
                <w:color w:val="000000"/>
                <w:sz w:val="18"/>
                <w:szCs w:val="18"/>
              </w:rPr>
            </w:pPr>
          </w:p>
        </w:tc>
        <w:tc>
          <w:tcPr>
            <w:tcW w:w="848" w:type="dxa"/>
            <w:tcBorders>
              <w:top w:val="nil"/>
              <w:left w:val="nil"/>
              <w:bottom w:val="nil"/>
              <w:right w:val="nil"/>
            </w:tcBorders>
            <w:shd w:val="clear" w:color="auto" w:fill="FFFFFF"/>
            <w:tcMar>
              <w:top w:w="15" w:type="dxa"/>
              <w:left w:w="15" w:type="dxa"/>
              <w:right w:w="15" w:type="dxa"/>
            </w:tcMar>
            <w:vAlign w:val="center"/>
          </w:tcPr>
          <w:p>
            <w:pPr>
              <w:rPr>
                <w:rFonts w:cs="宋体"/>
                <w:color w:val="000000"/>
                <w:sz w:val="18"/>
                <w:szCs w:val="18"/>
              </w:rPr>
            </w:pPr>
          </w:p>
        </w:tc>
        <w:tc>
          <w:tcPr>
            <w:tcW w:w="1220" w:type="dxa"/>
            <w:tcBorders>
              <w:top w:val="nil"/>
              <w:left w:val="nil"/>
              <w:bottom w:val="nil"/>
              <w:right w:val="nil"/>
            </w:tcBorders>
            <w:shd w:val="clear" w:color="auto" w:fill="FFFFFF"/>
            <w:tcMar>
              <w:top w:w="15" w:type="dxa"/>
              <w:left w:w="15" w:type="dxa"/>
              <w:right w:w="15" w:type="dxa"/>
            </w:tcMar>
            <w:vAlign w:val="center"/>
          </w:tcPr>
          <w:p>
            <w:pPr>
              <w:rPr>
                <w:rFonts w:cs="宋体"/>
                <w:color w:val="000000"/>
                <w:sz w:val="18"/>
                <w:szCs w:val="18"/>
              </w:rPr>
            </w:pPr>
          </w:p>
        </w:tc>
        <w:tc>
          <w:tcPr>
            <w:tcW w:w="648" w:type="dxa"/>
            <w:tcBorders>
              <w:top w:val="nil"/>
              <w:left w:val="nil"/>
              <w:bottom w:val="nil"/>
              <w:right w:val="nil"/>
            </w:tcBorders>
            <w:shd w:val="clear" w:color="auto" w:fill="FFFFFF"/>
            <w:tcMar>
              <w:top w:w="15" w:type="dxa"/>
              <w:left w:w="15" w:type="dxa"/>
              <w:right w:w="15" w:type="dxa"/>
            </w:tcMar>
            <w:vAlign w:val="center"/>
          </w:tcPr>
          <w:p>
            <w:pPr>
              <w:rPr>
                <w:rFonts w:cs="宋体"/>
                <w:color w:val="000000"/>
                <w:sz w:val="18"/>
                <w:szCs w:val="18"/>
              </w:rPr>
            </w:pPr>
          </w:p>
        </w:tc>
        <w:tc>
          <w:tcPr>
            <w:tcW w:w="448" w:type="dxa"/>
            <w:tcBorders>
              <w:top w:val="nil"/>
              <w:left w:val="nil"/>
              <w:bottom w:val="nil"/>
              <w:right w:val="nil"/>
            </w:tcBorders>
            <w:shd w:val="clear" w:color="auto" w:fill="FFFFFF"/>
            <w:tcMar>
              <w:top w:w="15" w:type="dxa"/>
              <w:left w:w="15" w:type="dxa"/>
              <w:right w:w="15" w:type="dxa"/>
            </w:tcMar>
            <w:vAlign w:val="center"/>
          </w:tcPr>
          <w:p>
            <w:pPr>
              <w:rPr>
                <w:rFonts w:cs="宋体"/>
                <w:color w:val="000000"/>
                <w:sz w:val="18"/>
                <w:szCs w:val="18"/>
              </w:rPr>
            </w:pPr>
          </w:p>
        </w:tc>
        <w:tc>
          <w:tcPr>
            <w:tcW w:w="648" w:type="dxa"/>
            <w:tcBorders>
              <w:top w:val="nil"/>
              <w:left w:val="nil"/>
              <w:bottom w:val="nil"/>
              <w:right w:val="nil"/>
            </w:tcBorders>
            <w:shd w:val="clear" w:color="auto" w:fill="FFFFFF"/>
            <w:tcMar>
              <w:top w:w="15" w:type="dxa"/>
              <w:left w:w="15" w:type="dxa"/>
              <w:right w:w="15" w:type="dxa"/>
            </w:tcMar>
            <w:vAlign w:val="center"/>
          </w:tcPr>
          <w:p>
            <w:pPr>
              <w:rPr>
                <w:rFonts w:cs="宋体"/>
                <w:color w:val="000000"/>
                <w:sz w:val="18"/>
                <w:szCs w:val="18"/>
              </w:rPr>
            </w:pPr>
          </w:p>
        </w:tc>
        <w:tc>
          <w:tcPr>
            <w:tcW w:w="675" w:type="dxa"/>
            <w:tcBorders>
              <w:top w:val="nil"/>
              <w:left w:val="nil"/>
              <w:bottom w:val="nil"/>
              <w:right w:val="nil"/>
            </w:tcBorders>
            <w:shd w:val="clear" w:color="auto" w:fill="FFFFFF"/>
            <w:tcMar>
              <w:top w:w="15" w:type="dxa"/>
              <w:left w:w="15" w:type="dxa"/>
              <w:right w:w="15" w:type="dxa"/>
            </w:tcMar>
            <w:vAlign w:val="center"/>
          </w:tcPr>
          <w:p>
            <w:pPr>
              <w:rPr>
                <w:rFonts w:cs="宋体"/>
                <w:color w:val="000000"/>
                <w:sz w:val="18"/>
                <w:szCs w:val="18"/>
              </w:rPr>
            </w:pPr>
          </w:p>
        </w:tc>
        <w:tc>
          <w:tcPr>
            <w:tcW w:w="1280" w:type="dxa"/>
            <w:tcBorders>
              <w:top w:val="nil"/>
              <w:left w:val="nil"/>
              <w:bottom w:val="nil"/>
            </w:tcBorders>
            <w:shd w:val="clear" w:color="auto" w:fill="FFFFFF"/>
            <w:tcMar>
              <w:top w:w="15" w:type="dxa"/>
              <w:left w:w="15" w:type="dxa"/>
              <w:right w:w="15" w:type="dxa"/>
            </w:tcMar>
            <w:vAlign w:val="center"/>
          </w:tcPr>
          <w:p>
            <w:pPr>
              <w:jc w:val="right"/>
              <w:textAlignment w:val="center"/>
              <w:rPr>
                <w:rFonts w:cs="宋体"/>
                <w:color w:val="000000"/>
                <w:sz w:val="22"/>
                <w:szCs w:val="22"/>
              </w:rPr>
            </w:pPr>
            <w:r>
              <w:rPr>
                <w:rFonts w:hint="eastAsia" w:cs="宋体"/>
                <w:color w:val="000000"/>
                <w:sz w:val="22"/>
                <w:szCs w:val="22"/>
              </w:rPr>
              <w:t>公开08表</w:t>
            </w:r>
          </w:p>
        </w:tc>
      </w:tr>
      <w:tr>
        <w:tblPrEx>
          <w:tblCellMar>
            <w:top w:w="0" w:type="dxa"/>
            <w:left w:w="0" w:type="dxa"/>
            <w:bottom w:w="0" w:type="dxa"/>
            <w:right w:w="0" w:type="dxa"/>
          </w:tblCellMar>
        </w:tblPrEx>
        <w:trPr>
          <w:trHeight w:val="300" w:hRule="atLeast"/>
        </w:trPr>
        <w:tc>
          <w:tcPr>
            <w:tcW w:w="2486" w:type="dxa"/>
            <w:tcBorders>
              <w:top w:val="nil"/>
              <w:left w:val="nil"/>
              <w:bottom w:val="single" w:color="808080" w:sz="4" w:space="0"/>
              <w:right w:val="nil"/>
            </w:tcBorders>
            <w:shd w:val="clear" w:color="auto" w:fill="FFFFF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部门：</w:t>
            </w:r>
            <w:r>
              <w:rPr>
                <w:rFonts w:hint="eastAsia" w:cs="宋体"/>
                <w:color w:val="000000"/>
                <w:sz w:val="22"/>
                <w:szCs w:val="22"/>
                <w:lang w:eastAsia="zh-CN"/>
              </w:rPr>
              <w:t>双峰县</w:t>
            </w:r>
            <w:r>
              <w:rPr>
                <w:rFonts w:hint="eastAsia" w:cs="宋体"/>
                <w:color w:val="000000"/>
                <w:sz w:val="22"/>
                <w:szCs w:val="22"/>
              </w:rPr>
              <w:t>人民检察院</w:t>
            </w:r>
          </w:p>
        </w:tc>
        <w:tc>
          <w:tcPr>
            <w:tcW w:w="46" w:type="dxa"/>
            <w:tcBorders>
              <w:top w:val="nil"/>
              <w:left w:val="nil"/>
              <w:bottom w:val="single" w:color="808080" w:sz="4" w:space="0"/>
              <w:right w:val="nil"/>
            </w:tcBorders>
            <w:shd w:val="clear" w:color="auto" w:fill="FFFFFF"/>
            <w:tcMar>
              <w:top w:w="15" w:type="dxa"/>
              <w:left w:w="15" w:type="dxa"/>
              <w:right w:w="15" w:type="dxa"/>
            </w:tcMar>
            <w:vAlign w:val="center"/>
          </w:tcPr>
          <w:p>
            <w:pPr>
              <w:rPr>
                <w:rFonts w:cs="宋体"/>
                <w:color w:val="000000"/>
                <w:sz w:val="18"/>
                <w:szCs w:val="18"/>
              </w:rPr>
            </w:pPr>
          </w:p>
        </w:tc>
        <w:tc>
          <w:tcPr>
            <w:tcW w:w="46" w:type="dxa"/>
            <w:tcBorders>
              <w:top w:val="nil"/>
              <w:left w:val="nil"/>
              <w:bottom w:val="single" w:color="808080" w:sz="4" w:space="0"/>
              <w:right w:val="nil"/>
            </w:tcBorders>
            <w:shd w:val="clear" w:color="auto" w:fill="FFFFFF"/>
            <w:tcMar>
              <w:top w:w="15" w:type="dxa"/>
              <w:left w:w="15" w:type="dxa"/>
              <w:right w:w="15" w:type="dxa"/>
            </w:tcMar>
            <w:vAlign w:val="center"/>
          </w:tcPr>
          <w:p>
            <w:pPr>
              <w:rPr>
                <w:rFonts w:cs="宋体"/>
                <w:color w:val="000000"/>
                <w:sz w:val="18"/>
                <w:szCs w:val="18"/>
              </w:rPr>
            </w:pPr>
          </w:p>
        </w:tc>
        <w:tc>
          <w:tcPr>
            <w:tcW w:w="848" w:type="dxa"/>
            <w:tcBorders>
              <w:top w:val="nil"/>
              <w:left w:val="nil"/>
              <w:bottom w:val="single" w:color="808080" w:sz="4" w:space="0"/>
              <w:right w:val="nil"/>
            </w:tcBorders>
            <w:shd w:val="clear" w:color="auto" w:fill="FFFFFF"/>
            <w:tcMar>
              <w:top w:w="15" w:type="dxa"/>
              <w:left w:w="15" w:type="dxa"/>
              <w:right w:w="15" w:type="dxa"/>
            </w:tcMar>
            <w:vAlign w:val="center"/>
          </w:tcPr>
          <w:p>
            <w:pPr>
              <w:rPr>
                <w:rFonts w:cs="宋体"/>
                <w:color w:val="000000"/>
                <w:sz w:val="18"/>
                <w:szCs w:val="18"/>
              </w:rPr>
            </w:pPr>
          </w:p>
        </w:tc>
        <w:tc>
          <w:tcPr>
            <w:tcW w:w="1220" w:type="dxa"/>
            <w:tcBorders>
              <w:top w:val="nil"/>
              <w:left w:val="nil"/>
              <w:bottom w:val="single" w:color="808080" w:sz="4" w:space="0"/>
              <w:right w:val="nil"/>
            </w:tcBorders>
            <w:shd w:val="clear" w:color="auto" w:fill="FFFFFF"/>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2020年度</w:t>
            </w:r>
          </w:p>
        </w:tc>
        <w:tc>
          <w:tcPr>
            <w:tcW w:w="648" w:type="dxa"/>
            <w:tcBorders>
              <w:top w:val="nil"/>
              <w:left w:val="nil"/>
              <w:bottom w:val="single" w:color="808080" w:sz="4" w:space="0"/>
              <w:right w:val="nil"/>
            </w:tcBorders>
            <w:shd w:val="clear" w:color="auto" w:fill="FFFFFF"/>
            <w:tcMar>
              <w:top w:w="15" w:type="dxa"/>
              <w:left w:w="15" w:type="dxa"/>
              <w:right w:w="15" w:type="dxa"/>
            </w:tcMar>
            <w:vAlign w:val="center"/>
          </w:tcPr>
          <w:p>
            <w:pPr>
              <w:rPr>
                <w:rFonts w:cs="宋体"/>
                <w:color w:val="000000"/>
                <w:sz w:val="18"/>
                <w:szCs w:val="18"/>
              </w:rPr>
            </w:pPr>
          </w:p>
        </w:tc>
        <w:tc>
          <w:tcPr>
            <w:tcW w:w="448" w:type="dxa"/>
            <w:tcBorders>
              <w:top w:val="nil"/>
              <w:left w:val="nil"/>
              <w:bottom w:val="single" w:color="auto" w:sz="4" w:space="0"/>
              <w:right w:val="nil"/>
            </w:tcBorders>
            <w:shd w:val="clear" w:color="auto" w:fill="FFFFFF"/>
            <w:tcMar>
              <w:top w:w="15" w:type="dxa"/>
              <w:left w:w="15" w:type="dxa"/>
              <w:right w:w="15" w:type="dxa"/>
            </w:tcMar>
            <w:vAlign w:val="center"/>
          </w:tcPr>
          <w:p>
            <w:pPr>
              <w:rPr>
                <w:rFonts w:cs="宋体"/>
                <w:color w:val="000000"/>
                <w:sz w:val="18"/>
                <w:szCs w:val="18"/>
              </w:rPr>
            </w:pPr>
          </w:p>
        </w:tc>
        <w:tc>
          <w:tcPr>
            <w:tcW w:w="648" w:type="dxa"/>
            <w:tcBorders>
              <w:top w:val="nil"/>
              <w:left w:val="nil"/>
              <w:bottom w:val="single" w:color="auto" w:sz="4" w:space="0"/>
              <w:right w:val="nil"/>
            </w:tcBorders>
            <w:shd w:val="clear" w:color="auto" w:fill="FFFFFF"/>
            <w:tcMar>
              <w:top w:w="15" w:type="dxa"/>
              <w:left w:w="15" w:type="dxa"/>
              <w:right w:w="15" w:type="dxa"/>
            </w:tcMar>
            <w:vAlign w:val="center"/>
          </w:tcPr>
          <w:p>
            <w:pPr>
              <w:rPr>
                <w:rFonts w:cs="宋体"/>
                <w:color w:val="000000"/>
                <w:sz w:val="18"/>
                <w:szCs w:val="18"/>
              </w:rPr>
            </w:pPr>
          </w:p>
        </w:tc>
        <w:tc>
          <w:tcPr>
            <w:tcW w:w="1955" w:type="dxa"/>
            <w:gridSpan w:val="2"/>
            <w:tcBorders>
              <w:top w:val="nil"/>
              <w:left w:val="nil"/>
              <w:bottom w:val="single" w:color="auto" w:sz="4" w:space="0"/>
            </w:tcBorders>
            <w:shd w:val="clear" w:color="auto" w:fill="FFFFFF"/>
            <w:tcMar>
              <w:top w:w="15" w:type="dxa"/>
              <w:left w:w="15" w:type="dxa"/>
              <w:right w:w="15" w:type="dxa"/>
            </w:tcMar>
            <w:vAlign w:val="center"/>
          </w:tcPr>
          <w:p>
            <w:pPr>
              <w:jc w:val="right"/>
              <w:textAlignment w:val="center"/>
              <w:rPr>
                <w:rFonts w:cs="宋体"/>
                <w:color w:val="000000"/>
                <w:sz w:val="22"/>
                <w:szCs w:val="22"/>
              </w:rPr>
            </w:pPr>
            <w:r>
              <w:rPr>
                <w:rFonts w:hint="eastAsia" w:cs="宋体"/>
                <w:color w:val="000000"/>
                <w:sz w:val="22"/>
                <w:szCs w:val="22"/>
              </w:rPr>
              <w:t>金额单位：</w:t>
            </w:r>
            <w:r>
              <w:rPr>
                <w:rFonts w:hint="eastAsia" w:cs="宋体"/>
                <w:color w:val="000000"/>
                <w:sz w:val="22"/>
                <w:szCs w:val="22"/>
                <w:lang w:eastAsia="zh-CN"/>
              </w:rPr>
              <w:t>万</w:t>
            </w:r>
            <w:r>
              <w:rPr>
                <w:rFonts w:hint="eastAsia" w:cs="宋体"/>
                <w:color w:val="000000"/>
                <w:sz w:val="22"/>
                <w:szCs w:val="22"/>
              </w:rPr>
              <w:t>元</w:t>
            </w:r>
          </w:p>
        </w:tc>
      </w:tr>
      <w:tr>
        <w:tblPrEx>
          <w:tblCellMar>
            <w:top w:w="0" w:type="dxa"/>
            <w:left w:w="0" w:type="dxa"/>
            <w:bottom w:w="0" w:type="dxa"/>
            <w:right w:w="0" w:type="dxa"/>
          </w:tblCellMar>
        </w:tblPrEx>
        <w:trPr>
          <w:trHeight w:val="300" w:hRule="atLeast"/>
        </w:trPr>
        <w:tc>
          <w:tcPr>
            <w:tcW w:w="3426"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both"/>
              <w:textAlignment w:val="center"/>
              <w:rPr>
                <w:rFonts w:cs="宋体"/>
                <w:color w:val="000000"/>
                <w:sz w:val="20"/>
                <w:szCs w:val="20"/>
              </w:rPr>
            </w:pPr>
            <w:r>
              <w:rPr>
                <w:rFonts w:hint="eastAsia" w:cs="宋体"/>
                <w:color w:val="000000"/>
                <w:sz w:val="20"/>
                <w:szCs w:val="20"/>
              </w:rPr>
              <w:t>项目</w:t>
            </w:r>
          </w:p>
        </w:tc>
        <w:tc>
          <w:tcPr>
            <w:tcW w:w="12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年初结转和结余</w:t>
            </w:r>
          </w:p>
        </w:tc>
        <w:tc>
          <w:tcPr>
            <w:tcW w:w="648" w:type="dxa"/>
            <w:vMerge w:val="restart"/>
            <w:tcBorders>
              <w:top w:val="nil"/>
              <w:left w:val="nil"/>
              <w:bottom w:val="single" w:color="000000" w:sz="4" w:space="0"/>
              <w:right w:val="single" w:color="auto"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本年收入</w:t>
            </w:r>
          </w:p>
        </w:tc>
        <w:tc>
          <w:tcPr>
            <w:tcW w:w="1771" w:type="dxa"/>
            <w:gridSpan w:val="3"/>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本年支出</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年末结转和结余</w:t>
            </w:r>
          </w:p>
        </w:tc>
      </w:tr>
      <w:tr>
        <w:tblPrEx>
          <w:tblCellMar>
            <w:top w:w="0" w:type="dxa"/>
            <w:left w:w="0" w:type="dxa"/>
            <w:bottom w:w="0" w:type="dxa"/>
            <w:right w:w="0" w:type="dxa"/>
          </w:tblCellMar>
        </w:tblPrEx>
        <w:trPr>
          <w:trHeight w:val="300" w:hRule="atLeast"/>
        </w:trPr>
        <w:tc>
          <w:tcPr>
            <w:tcW w:w="2578"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功能分类科目编码</w:t>
            </w:r>
          </w:p>
        </w:tc>
        <w:tc>
          <w:tcPr>
            <w:tcW w:w="84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科目名称</w:t>
            </w:r>
          </w:p>
        </w:tc>
        <w:tc>
          <w:tcPr>
            <w:tcW w:w="12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6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44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小计</w:t>
            </w:r>
          </w:p>
        </w:tc>
        <w:tc>
          <w:tcPr>
            <w:tcW w:w="64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基本支出</w:t>
            </w:r>
          </w:p>
        </w:tc>
        <w:tc>
          <w:tcPr>
            <w:tcW w:w="6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项目支出</w:t>
            </w:r>
          </w:p>
        </w:tc>
        <w:tc>
          <w:tcPr>
            <w:tcW w:w="12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r>
      <w:tr>
        <w:tblPrEx>
          <w:tblCellMar>
            <w:top w:w="0" w:type="dxa"/>
            <w:left w:w="0" w:type="dxa"/>
            <w:bottom w:w="0" w:type="dxa"/>
            <w:right w:w="0" w:type="dxa"/>
          </w:tblCellMar>
        </w:tblPrEx>
        <w:trPr>
          <w:trHeight w:val="300" w:hRule="atLeast"/>
        </w:trPr>
        <w:tc>
          <w:tcPr>
            <w:tcW w:w="2578"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8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12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6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4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6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6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12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r>
      <w:tr>
        <w:tblPrEx>
          <w:tblCellMar>
            <w:top w:w="0" w:type="dxa"/>
            <w:left w:w="0" w:type="dxa"/>
            <w:bottom w:w="0" w:type="dxa"/>
            <w:right w:w="0" w:type="dxa"/>
          </w:tblCellMar>
        </w:tblPrEx>
        <w:trPr>
          <w:trHeight w:val="300" w:hRule="atLeast"/>
        </w:trPr>
        <w:tc>
          <w:tcPr>
            <w:tcW w:w="2578"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8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12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6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4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6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6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12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r>
      <w:tr>
        <w:tblPrEx>
          <w:tblCellMar>
            <w:top w:w="0" w:type="dxa"/>
            <w:left w:w="0" w:type="dxa"/>
            <w:bottom w:w="0" w:type="dxa"/>
            <w:right w:w="0" w:type="dxa"/>
          </w:tblCellMar>
        </w:tblPrEx>
        <w:trPr>
          <w:trHeight w:val="300" w:hRule="atLeast"/>
        </w:trPr>
        <w:tc>
          <w:tcPr>
            <w:tcW w:w="3426"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栏次</w:t>
            </w:r>
          </w:p>
        </w:tc>
        <w:tc>
          <w:tcPr>
            <w:tcW w:w="12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1</w:t>
            </w:r>
          </w:p>
        </w:tc>
        <w:tc>
          <w:tcPr>
            <w:tcW w:w="64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2</w:t>
            </w:r>
          </w:p>
        </w:tc>
        <w:tc>
          <w:tcPr>
            <w:tcW w:w="44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3</w:t>
            </w:r>
          </w:p>
        </w:tc>
        <w:tc>
          <w:tcPr>
            <w:tcW w:w="64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4</w:t>
            </w:r>
          </w:p>
        </w:tc>
        <w:tc>
          <w:tcPr>
            <w:tcW w:w="6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5</w:t>
            </w:r>
          </w:p>
        </w:tc>
        <w:tc>
          <w:tcPr>
            <w:tcW w:w="128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6</w:t>
            </w:r>
          </w:p>
        </w:tc>
      </w:tr>
      <w:tr>
        <w:tblPrEx>
          <w:tblCellMar>
            <w:top w:w="0" w:type="dxa"/>
            <w:left w:w="0" w:type="dxa"/>
            <w:bottom w:w="0" w:type="dxa"/>
            <w:right w:w="0" w:type="dxa"/>
          </w:tblCellMar>
        </w:tblPrEx>
        <w:trPr>
          <w:trHeight w:val="300" w:hRule="atLeast"/>
        </w:trPr>
        <w:tc>
          <w:tcPr>
            <w:tcW w:w="3426"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both"/>
              <w:textAlignment w:val="center"/>
              <w:rPr>
                <w:rFonts w:cs="宋体"/>
                <w:color w:val="000000"/>
                <w:sz w:val="20"/>
                <w:szCs w:val="20"/>
              </w:rPr>
            </w:pPr>
            <w:r>
              <w:rPr>
                <w:rFonts w:hint="eastAsia" w:cs="宋体"/>
                <w:color w:val="000000"/>
                <w:sz w:val="20"/>
                <w:szCs w:val="20"/>
              </w:rPr>
              <w:t>合计</w:t>
            </w:r>
          </w:p>
        </w:tc>
        <w:tc>
          <w:tcPr>
            <w:tcW w:w="122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64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44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64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128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r>
      <w:tr>
        <w:tblPrEx>
          <w:tblCellMar>
            <w:top w:w="0" w:type="dxa"/>
            <w:left w:w="0" w:type="dxa"/>
            <w:bottom w:w="0" w:type="dxa"/>
            <w:right w:w="0" w:type="dxa"/>
          </w:tblCellMar>
        </w:tblPrEx>
        <w:trPr>
          <w:trHeight w:val="300" w:hRule="atLeast"/>
        </w:trPr>
        <w:tc>
          <w:tcPr>
            <w:tcW w:w="2578"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cs="宋体"/>
                <w:color w:val="000000"/>
                <w:sz w:val="20"/>
                <w:szCs w:val="20"/>
              </w:rPr>
            </w:pPr>
          </w:p>
        </w:tc>
        <w:tc>
          <w:tcPr>
            <w:tcW w:w="848"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rPr>
                <w:rFonts w:cs="宋体"/>
                <w:color w:val="000000"/>
                <w:sz w:val="20"/>
                <w:szCs w:val="20"/>
              </w:rPr>
            </w:pPr>
          </w:p>
        </w:tc>
        <w:tc>
          <w:tcPr>
            <w:tcW w:w="122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cs="宋体"/>
                <w:color w:val="000000"/>
                <w:sz w:val="20"/>
                <w:szCs w:val="20"/>
              </w:rPr>
            </w:pPr>
          </w:p>
        </w:tc>
        <w:tc>
          <w:tcPr>
            <w:tcW w:w="64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cs="宋体"/>
                <w:color w:val="000000"/>
                <w:sz w:val="20"/>
                <w:szCs w:val="20"/>
              </w:rPr>
            </w:pPr>
          </w:p>
        </w:tc>
        <w:tc>
          <w:tcPr>
            <w:tcW w:w="44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cs="宋体"/>
                <w:color w:val="000000"/>
                <w:sz w:val="20"/>
                <w:szCs w:val="20"/>
              </w:rPr>
            </w:pPr>
          </w:p>
        </w:tc>
        <w:tc>
          <w:tcPr>
            <w:tcW w:w="64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cs="宋体"/>
                <w:color w:val="000000"/>
                <w:sz w:val="20"/>
                <w:szCs w:val="20"/>
              </w:rPr>
            </w:pP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cs="宋体"/>
                <w:color w:val="000000"/>
                <w:sz w:val="20"/>
                <w:szCs w:val="20"/>
              </w:rPr>
            </w:pPr>
          </w:p>
        </w:tc>
        <w:tc>
          <w:tcPr>
            <w:tcW w:w="128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cs="宋体"/>
                <w:color w:val="000000"/>
                <w:sz w:val="20"/>
                <w:szCs w:val="20"/>
              </w:rPr>
            </w:pPr>
          </w:p>
        </w:tc>
      </w:tr>
      <w:tr>
        <w:tblPrEx>
          <w:tblCellMar>
            <w:top w:w="0" w:type="dxa"/>
            <w:left w:w="0" w:type="dxa"/>
            <w:bottom w:w="0" w:type="dxa"/>
            <w:right w:w="0" w:type="dxa"/>
          </w:tblCellMar>
        </w:tblPrEx>
        <w:trPr>
          <w:trHeight w:val="300" w:hRule="atLeast"/>
        </w:trPr>
        <w:tc>
          <w:tcPr>
            <w:tcW w:w="8345" w:type="dxa"/>
            <w:gridSpan w:val="10"/>
            <w:tcBorders>
              <w:top w:val="nil"/>
              <w:left w:val="nil"/>
              <w:bottom w:val="nil"/>
              <w:right w:val="nil"/>
            </w:tcBorders>
            <w:shd w:val="clear" w:color="auto" w:fill="FFFFFF"/>
            <w:tcMar>
              <w:top w:w="15" w:type="dxa"/>
              <w:left w:w="15" w:type="dxa"/>
              <w:right w:w="15" w:type="dxa"/>
            </w:tcMar>
            <w:vAlign w:val="center"/>
          </w:tcPr>
          <w:p>
            <w:pPr>
              <w:pStyle w:val="13"/>
              <w:spacing w:before="0" w:beforeAutospacing="0"/>
              <w:ind w:firstLine="500" w:firstLineChars="250"/>
              <w:outlineLvl w:val="1"/>
              <w:rPr>
                <w:rFonts w:cs="楷体" w:asciiTheme="minorEastAsia" w:hAnsiTheme="minorEastAsia" w:eastAsiaTheme="minorEastAsia"/>
                <w:sz w:val="20"/>
                <w:szCs w:val="20"/>
                <w:shd w:val="clear" w:color="auto" w:fill="FFFFFF"/>
              </w:rPr>
            </w:pPr>
            <w:r>
              <w:rPr>
                <w:rFonts w:hint="eastAsia" w:cs="宋体"/>
                <w:color w:val="000000"/>
                <w:sz w:val="20"/>
                <w:szCs w:val="20"/>
              </w:rPr>
              <w:t>注：本表反映部门本年度政府性基金预算财政拨款收入、支出及结转和结余情况。</w:t>
            </w:r>
            <w:r>
              <w:rPr>
                <w:rFonts w:hint="eastAsia" w:cs="楷体" w:asciiTheme="minorEastAsia" w:hAnsiTheme="minorEastAsia" w:eastAsiaTheme="minorEastAsia"/>
                <w:sz w:val="20"/>
                <w:szCs w:val="20"/>
                <w:shd w:val="clear" w:color="auto" w:fill="FFFFFF"/>
              </w:rPr>
              <w:t>2020年度本部门无政府性基金收支，因此本表无数据。</w:t>
            </w:r>
          </w:p>
          <w:p>
            <w:pPr>
              <w:textAlignment w:val="center"/>
              <w:rPr>
                <w:rFonts w:cs="宋体"/>
                <w:color w:val="000000"/>
                <w:sz w:val="20"/>
                <w:szCs w:val="20"/>
              </w:rPr>
            </w:pPr>
          </w:p>
        </w:tc>
      </w:tr>
    </w:tbl>
    <w:p>
      <w:pPr>
        <w:pStyle w:val="13"/>
        <w:spacing w:before="0" w:beforeAutospacing="0"/>
        <w:jc w:val="center"/>
        <w:rPr>
          <w:rStyle w:val="16"/>
          <w:rFonts w:ascii="楷体" w:hAnsi="楷体" w:eastAsia="楷体" w:cs="楷体"/>
          <w:sz w:val="32"/>
          <w:szCs w:val="32"/>
          <w:shd w:val="clear" w:color="auto" w:fill="FFFFFF"/>
        </w:rPr>
      </w:pPr>
    </w:p>
    <w:p>
      <w:pPr>
        <w:pStyle w:val="13"/>
        <w:spacing w:before="0" w:beforeAutospacing="0"/>
        <w:ind w:firstLine="480" w:firstLineChars="150"/>
        <w:outlineLvl w:val="1"/>
        <w:rPr>
          <w:rStyle w:val="16"/>
          <w:rFonts w:ascii="楷体_GB2312" w:eastAsia="楷体_GB2312"/>
          <w:b w:val="0"/>
          <w:sz w:val="32"/>
          <w:szCs w:val="32"/>
        </w:rPr>
      </w:pPr>
      <w:r>
        <w:rPr>
          <w:rStyle w:val="16"/>
          <w:rFonts w:hint="eastAsia" w:ascii="楷体_GB2312" w:eastAsia="楷体_GB2312"/>
          <w:b w:val="0"/>
          <w:sz w:val="32"/>
          <w:szCs w:val="32"/>
        </w:rPr>
        <w:t>九、国有资本经营预算财政拨款支出决算表</w:t>
      </w:r>
    </w:p>
    <w:tbl>
      <w:tblPr>
        <w:tblStyle w:val="14"/>
        <w:tblW w:w="8457" w:type="dxa"/>
        <w:tblInd w:w="93" w:type="dxa"/>
        <w:tblLayout w:type="fixed"/>
        <w:tblCellMar>
          <w:top w:w="0" w:type="dxa"/>
          <w:left w:w="108" w:type="dxa"/>
          <w:bottom w:w="0" w:type="dxa"/>
          <w:right w:w="108" w:type="dxa"/>
        </w:tblCellMar>
      </w:tblPr>
      <w:tblGrid>
        <w:gridCol w:w="817"/>
        <w:gridCol w:w="817"/>
        <w:gridCol w:w="236"/>
        <w:gridCol w:w="154"/>
        <w:gridCol w:w="1393"/>
        <w:gridCol w:w="154"/>
        <w:gridCol w:w="1526"/>
        <w:gridCol w:w="154"/>
        <w:gridCol w:w="1526"/>
        <w:gridCol w:w="154"/>
        <w:gridCol w:w="1448"/>
        <w:gridCol w:w="78"/>
      </w:tblGrid>
      <w:tr>
        <w:tblPrEx>
          <w:tblCellMar>
            <w:top w:w="0" w:type="dxa"/>
            <w:left w:w="108" w:type="dxa"/>
            <w:bottom w:w="0" w:type="dxa"/>
            <w:right w:w="108" w:type="dxa"/>
          </w:tblCellMar>
        </w:tblPrEx>
        <w:trPr>
          <w:gridAfter w:val="1"/>
          <w:wAfter w:w="78" w:type="dxa"/>
          <w:trHeight w:val="300" w:hRule="atLeast"/>
        </w:trPr>
        <w:tc>
          <w:tcPr>
            <w:tcW w:w="817" w:type="dxa"/>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817" w:type="dxa"/>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390" w:type="dxa"/>
            <w:gridSpan w:val="2"/>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1547" w:type="dxa"/>
            <w:gridSpan w:val="2"/>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1680" w:type="dxa"/>
            <w:gridSpan w:val="2"/>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1680" w:type="dxa"/>
            <w:gridSpan w:val="2"/>
            <w:tcBorders>
              <w:top w:val="nil"/>
              <w:left w:val="nil"/>
              <w:bottom w:val="nil"/>
              <w:right w:val="nil"/>
            </w:tcBorders>
            <w:shd w:val="clear" w:color="000000" w:fill="FFFFFF"/>
            <w:vAlign w:val="center"/>
          </w:tcPr>
          <w:p>
            <w:pPr>
              <w:rPr>
                <w:rFonts w:cs="Arial"/>
                <w:sz w:val="18"/>
                <w:szCs w:val="18"/>
              </w:rPr>
            </w:pPr>
            <w:r>
              <w:rPr>
                <w:rFonts w:hint="eastAsia" w:cs="Arial"/>
                <w:sz w:val="18"/>
                <w:szCs w:val="18"/>
              </w:rPr>
              <w:t>　</w:t>
            </w:r>
          </w:p>
        </w:tc>
        <w:tc>
          <w:tcPr>
            <w:tcW w:w="1448" w:type="dxa"/>
            <w:tcBorders>
              <w:top w:val="nil"/>
              <w:left w:val="nil"/>
              <w:bottom w:val="nil"/>
            </w:tcBorders>
            <w:shd w:val="clear" w:color="000000" w:fill="FFFFFF"/>
            <w:vAlign w:val="center"/>
          </w:tcPr>
          <w:p>
            <w:pPr>
              <w:jc w:val="right"/>
              <w:rPr>
                <w:rFonts w:cs="Arial"/>
                <w:color w:val="000000"/>
                <w:sz w:val="22"/>
                <w:szCs w:val="22"/>
              </w:rPr>
            </w:pPr>
            <w:r>
              <w:rPr>
                <w:rFonts w:hint="eastAsia" w:cs="Arial"/>
                <w:color w:val="000000"/>
                <w:sz w:val="22"/>
                <w:szCs w:val="22"/>
              </w:rPr>
              <w:t>公开09表</w:t>
            </w:r>
          </w:p>
        </w:tc>
      </w:tr>
      <w:tr>
        <w:tblPrEx>
          <w:tblCellMar>
            <w:top w:w="0" w:type="dxa"/>
            <w:left w:w="108" w:type="dxa"/>
            <w:bottom w:w="0" w:type="dxa"/>
            <w:right w:w="108" w:type="dxa"/>
          </w:tblCellMar>
        </w:tblPrEx>
        <w:trPr>
          <w:trHeight w:val="300" w:hRule="atLeast"/>
        </w:trPr>
        <w:tc>
          <w:tcPr>
            <w:tcW w:w="3417" w:type="dxa"/>
            <w:gridSpan w:val="5"/>
            <w:tcBorders>
              <w:top w:val="nil"/>
              <w:left w:val="nil"/>
              <w:bottom w:val="single" w:color="808080" w:sz="4" w:space="0"/>
              <w:right w:val="nil"/>
            </w:tcBorders>
            <w:shd w:val="clear" w:color="000000" w:fill="FFFFFF"/>
            <w:vAlign w:val="center"/>
          </w:tcPr>
          <w:p>
            <w:pPr>
              <w:rPr>
                <w:rFonts w:cs="Arial"/>
                <w:color w:val="000000"/>
                <w:sz w:val="22"/>
                <w:szCs w:val="22"/>
              </w:rPr>
            </w:pPr>
            <w:r>
              <w:rPr>
                <w:rFonts w:hint="eastAsia" w:cs="Arial"/>
                <w:color w:val="000000"/>
                <w:sz w:val="22"/>
                <w:szCs w:val="22"/>
              </w:rPr>
              <w:t>部门：</w:t>
            </w:r>
            <w:r>
              <w:rPr>
                <w:rFonts w:hint="eastAsia" w:cs="Arial"/>
                <w:color w:val="000000"/>
                <w:sz w:val="22"/>
                <w:szCs w:val="22"/>
                <w:lang w:eastAsia="zh-CN"/>
              </w:rPr>
              <w:t>双峰县</w:t>
            </w:r>
            <w:r>
              <w:rPr>
                <w:rFonts w:hint="eastAsia" w:cs="Arial"/>
                <w:color w:val="000000"/>
                <w:sz w:val="22"/>
                <w:szCs w:val="22"/>
              </w:rPr>
              <w:t>人民检察院</w:t>
            </w:r>
          </w:p>
        </w:tc>
        <w:tc>
          <w:tcPr>
            <w:tcW w:w="1680" w:type="dxa"/>
            <w:gridSpan w:val="2"/>
            <w:tcBorders>
              <w:top w:val="nil"/>
              <w:left w:val="nil"/>
              <w:bottom w:val="single" w:color="auto" w:sz="4" w:space="0"/>
              <w:right w:val="nil"/>
            </w:tcBorders>
            <w:shd w:val="clear" w:color="000000" w:fill="FFFFFF"/>
            <w:vAlign w:val="center"/>
          </w:tcPr>
          <w:p>
            <w:pPr>
              <w:rPr>
                <w:rFonts w:cs="Arial"/>
                <w:sz w:val="18"/>
                <w:szCs w:val="18"/>
              </w:rPr>
            </w:pPr>
            <w:r>
              <w:rPr>
                <w:rFonts w:hint="eastAsia" w:cs="Arial"/>
                <w:sz w:val="18"/>
                <w:szCs w:val="18"/>
              </w:rPr>
              <w:t>　</w:t>
            </w:r>
            <w:r>
              <w:rPr>
                <w:rFonts w:hint="eastAsia" w:cs="Arial"/>
                <w:color w:val="000000"/>
                <w:sz w:val="22"/>
                <w:szCs w:val="22"/>
              </w:rPr>
              <w:t>2020年度</w:t>
            </w:r>
          </w:p>
        </w:tc>
        <w:tc>
          <w:tcPr>
            <w:tcW w:w="3360" w:type="dxa"/>
            <w:gridSpan w:val="5"/>
            <w:tcBorders>
              <w:top w:val="nil"/>
              <w:left w:val="nil"/>
              <w:bottom w:val="single" w:color="auto" w:sz="4" w:space="0"/>
            </w:tcBorders>
            <w:shd w:val="clear" w:color="000000" w:fill="FFFFFF"/>
            <w:vAlign w:val="center"/>
          </w:tcPr>
          <w:p>
            <w:pPr>
              <w:jc w:val="right"/>
              <w:rPr>
                <w:rFonts w:cs="Arial"/>
                <w:color w:val="000000"/>
                <w:sz w:val="22"/>
                <w:szCs w:val="22"/>
              </w:rPr>
            </w:pPr>
            <w:r>
              <w:rPr>
                <w:rFonts w:hint="eastAsia" w:cs="Arial"/>
                <w:sz w:val="18"/>
                <w:szCs w:val="18"/>
              </w:rPr>
              <w:t>　</w:t>
            </w:r>
            <w:r>
              <w:rPr>
                <w:rFonts w:hint="eastAsia" w:cs="Arial"/>
                <w:color w:val="000000"/>
                <w:sz w:val="22"/>
                <w:szCs w:val="22"/>
              </w:rPr>
              <w:t>金额单位：</w:t>
            </w:r>
            <w:r>
              <w:rPr>
                <w:rFonts w:hint="eastAsia" w:cs="Arial"/>
                <w:color w:val="000000"/>
                <w:sz w:val="22"/>
                <w:szCs w:val="22"/>
                <w:lang w:eastAsia="zh-CN"/>
              </w:rPr>
              <w:t>万</w:t>
            </w:r>
            <w:r>
              <w:rPr>
                <w:rFonts w:hint="eastAsia" w:cs="Arial"/>
                <w:color w:val="000000"/>
                <w:sz w:val="22"/>
                <w:szCs w:val="22"/>
              </w:rPr>
              <w:t>元</w:t>
            </w:r>
          </w:p>
        </w:tc>
      </w:tr>
      <w:tr>
        <w:tblPrEx>
          <w:tblCellMar>
            <w:top w:w="0" w:type="dxa"/>
            <w:left w:w="108" w:type="dxa"/>
            <w:bottom w:w="0" w:type="dxa"/>
            <w:right w:w="108" w:type="dxa"/>
          </w:tblCellMar>
        </w:tblPrEx>
        <w:trPr>
          <w:trHeight w:val="300" w:hRule="atLeast"/>
        </w:trPr>
        <w:tc>
          <w:tcPr>
            <w:tcW w:w="3417" w:type="dxa"/>
            <w:gridSpan w:val="5"/>
            <w:tcBorders>
              <w:top w:val="nil"/>
              <w:left w:val="single" w:color="000000" w:sz="4" w:space="0"/>
              <w:bottom w:val="single" w:color="000000" w:sz="4" w:space="0"/>
              <w:right w:val="single" w:color="auto" w:sz="4" w:space="0"/>
            </w:tcBorders>
            <w:shd w:val="clear" w:color="000000" w:fill="C0C0C0"/>
            <w:vAlign w:val="center"/>
          </w:tcPr>
          <w:p>
            <w:pPr>
              <w:rPr>
                <w:rFonts w:cs="Arial"/>
                <w:sz w:val="20"/>
                <w:szCs w:val="20"/>
              </w:rPr>
            </w:pPr>
            <w:r>
              <w:rPr>
                <w:rFonts w:hint="eastAsia" w:cs="Arial"/>
                <w:sz w:val="20"/>
                <w:szCs w:val="20"/>
              </w:rPr>
              <w:t>项目</w:t>
            </w:r>
          </w:p>
        </w:tc>
        <w:tc>
          <w:tcPr>
            <w:tcW w:w="5040" w:type="dxa"/>
            <w:gridSpan w:val="7"/>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cs="Arial"/>
                <w:sz w:val="20"/>
                <w:szCs w:val="20"/>
              </w:rPr>
            </w:pPr>
            <w:r>
              <w:rPr>
                <w:rFonts w:hint="eastAsia" w:cs="Arial"/>
                <w:sz w:val="20"/>
                <w:szCs w:val="20"/>
              </w:rPr>
              <w:t>本年支出</w:t>
            </w:r>
          </w:p>
        </w:tc>
      </w:tr>
      <w:tr>
        <w:tblPrEx>
          <w:tblCellMar>
            <w:top w:w="0" w:type="dxa"/>
            <w:left w:w="108" w:type="dxa"/>
            <w:bottom w:w="0" w:type="dxa"/>
            <w:right w:w="108" w:type="dxa"/>
          </w:tblCellMar>
        </w:tblPrEx>
        <w:trPr>
          <w:trHeight w:val="300" w:hRule="atLeast"/>
        </w:trPr>
        <w:tc>
          <w:tcPr>
            <w:tcW w:w="1870"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功能分类科目编码</w:t>
            </w:r>
          </w:p>
        </w:tc>
        <w:tc>
          <w:tcPr>
            <w:tcW w:w="1547"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科目名称</w:t>
            </w:r>
          </w:p>
        </w:tc>
        <w:tc>
          <w:tcPr>
            <w:tcW w:w="1680" w:type="dxa"/>
            <w:gridSpan w:val="2"/>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合计</w:t>
            </w:r>
          </w:p>
        </w:tc>
        <w:tc>
          <w:tcPr>
            <w:tcW w:w="1680" w:type="dxa"/>
            <w:gridSpan w:val="2"/>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基本支出</w:t>
            </w:r>
          </w:p>
        </w:tc>
        <w:tc>
          <w:tcPr>
            <w:tcW w:w="1680" w:type="dxa"/>
            <w:gridSpan w:val="3"/>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项目支出</w:t>
            </w:r>
          </w:p>
        </w:tc>
      </w:tr>
      <w:tr>
        <w:tblPrEx>
          <w:tblCellMar>
            <w:top w:w="0" w:type="dxa"/>
            <w:left w:w="108" w:type="dxa"/>
            <w:bottom w:w="0" w:type="dxa"/>
            <w:right w:w="108" w:type="dxa"/>
          </w:tblCellMar>
        </w:tblPrEx>
        <w:trPr>
          <w:trHeight w:val="300" w:hRule="atLeast"/>
        </w:trPr>
        <w:tc>
          <w:tcPr>
            <w:tcW w:w="1870" w:type="dxa"/>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1547"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680"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1870" w:type="dxa"/>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1547"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680"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3417" w:type="dxa"/>
            <w:gridSpan w:val="5"/>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栏次</w:t>
            </w:r>
          </w:p>
        </w:tc>
        <w:tc>
          <w:tcPr>
            <w:tcW w:w="1680" w:type="dxa"/>
            <w:gridSpan w:val="2"/>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w:t>
            </w:r>
          </w:p>
        </w:tc>
        <w:tc>
          <w:tcPr>
            <w:tcW w:w="1680" w:type="dxa"/>
            <w:gridSpan w:val="2"/>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2</w:t>
            </w:r>
          </w:p>
        </w:tc>
        <w:tc>
          <w:tcPr>
            <w:tcW w:w="1680" w:type="dxa"/>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3</w:t>
            </w:r>
          </w:p>
        </w:tc>
      </w:tr>
      <w:tr>
        <w:tblPrEx>
          <w:tblCellMar>
            <w:top w:w="0" w:type="dxa"/>
            <w:left w:w="108" w:type="dxa"/>
            <w:bottom w:w="0" w:type="dxa"/>
            <w:right w:w="108" w:type="dxa"/>
          </w:tblCellMar>
        </w:tblPrEx>
        <w:trPr>
          <w:trHeight w:val="300" w:hRule="atLeast"/>
        </w:trPr>
        <w:tc>
          <w:tcPr>
            <w:tcW w:w="3417" w:type="dxa"/>
            <w:gridSpan w:val="5"/>
            <w:tcBorders>
              <w:top w:val="nil"/>
              <w:left w:val="single" w:color="000000" w:sz="4" w:space="0"/>
              <w:bottom w:val="single" w:color="000000" w:sz="4" w:space="0"/>
              <w:right w:val="single" w:color="000000" w:sz="4" w:space="0"/>
            </w:tcBorders>
            <w:shd w:val="clear" w:color="000000" w:fill="C0C0C0"/>
            <w:vAlign w:val="center"/>
          </w:tcPr>
          <w:p>
            <w:pPr>
              <w:rPr>
                <w:rFonts w:cs="Arial"/>
                <w:sz w:val="20"/>
                <w:szCs w:val="20"/>
              </w:rPr>
            </w:pPr>
            <w:r>
              <w:rPr>
                <w:rFonts w:hint="eastAsia" w:cs="Arial"/>
                <w:sz w:val="20"/>
                <w:szCs w:val="20"/>
              </w:rPr>
              <w:t>合计</w:t>
            </w:r>
          </w:p>
        </w:tc>
        <w:tc>
          <w:tcPr>
            <w:tcW w:w="1680" w:type="dxa"/>
            <w:gridSpan w:val="2"/>
            <w:tcBorders>
              <w:top w:val="nil"/>
              <w:left w:val="nil"/>
              <w:bottom w:val="single" w:color="000000" w:sz="4" w:space="0"/>
              <w:right w:val="single" w:color="000000" w:sz="4" w:space="0"/>
            </w:tcBorders>
            <w:shd w:val="clear" w:color="000000" w:fill="00FF00"/>
            <w:vAlign w:val="center"/>
          </w:tcPr>
          <w:p>
            <w:pPr>
              <w:jc w:val="right"/>
              <w:rPr>
                <w:rFonts w:cs="Arial"/>
                <w:b/>
                <w:bCs/>
                <w:sz w:val="20"/>
                <w:szCs w:val="20"/>
              </w:rPr>
            </w:pPr>
            <w:r>
              <w:rPr>
                <w:rFonts w:hint="eastAsia" w:cs="Arial"/>
                <w:b/>
                <w:bCs/>
                <w:sz w:val="20"/>
                <w:szCs w:val="20"/>
              </w:rPr>
              <w:t>0.00　</w:t>
            </w:r>
          </w:p>
        </w:tc>
        <w:tc>
          <w:tcPr>
            <w:tcW w:w="1680" w:type="dxa"/>
            <w:gridSpan w:val="2"/>
            <w:tcBorders>
              <w:top w:val="nil"/>
              <w:left w:val="nil"/>
              <w:bottom w:val="single" w:color="000000" w:sz="4" w:space="0"/>
              <w:right w:val="single" w:color="000000" w:sz="4" w:space="0"/>
            </w:tcBorders>
            <w:shd w:val="clear" w:color="000000" w:fill="00FF00"/>
            <w:vAlign w:val="center"/>
          </w:tcPr>
          <w:p>
            <w:pPr>
              <w:jc w:val="right"/>
              <w:rPr>
                <w:rFonts w:cs="Arial"/>
                <w:b/>
                <w:bCs/>
                <w:sz w:val="20"/>
                <w:szCs w:val="20"/>
              </w:rPr>
            </w:pPr>
            <w:r>
              <w:rPr>
                <w:rFonts w:hint="eastAsia" w:cs="Arial"/>
                <w:b/>
                <w:bCs/>
                <w:sz w:val="20"/>
                <w:szCs w:val="20"/>
              </w:rPr>
              <w:t>0.00　</w:t>
            </w:r>
          </w:p>
        </w:tc>
        <w:tc>
          <w:tcPr>
            <w:tcW w:w="1680" w:type="dxa"/>
            <w:gridSpan w:val="3"/>
            <w:tcBorders>
              <w:top w:val="nil"/>
              <w:left w:val="nil"/>
              <w:bottom w:val="single" w:color="000000" w:sz="4" w:space="0"/>
              <w:right w:val="single" w:color="000000" w:sz="4" w:space="0"/>
            </w:tcBorders>
            <w:shd w:val="clear" w:color="000000" w:fill="00FF00"/>
            <w:vAlign w:val="center"/>
          </w:tcPr>
          <w:p>
            <w:pPr>
              <w:jc w:val="right"/>
              <w:rPr>
                <w:rFonts w:cs="Arial"/>
                <w:b/>
                <w:bCs/>
                <w:sz w:val="20"/>
                <w:szCs w:val="20"/>
              </w:rPr>
            </w:pPr>
            <w:r>
              <w:rPr>
                <w:rFonts w:hint="eastAsia" w:cs="Arial"/>
                <w:b/>
                <w:bCs/>
                <w:sz w:val="20"/>
                <w:szCs w:val="20"/>
              </w:rPr>
              <w:t>0.00　</w:t>
            </w:r>
          </w:p>
        </w:tc>
      </w:tr>
      <w:tr>
        <w:tblPrEx>
          <w:tblCellMar>
            <w:top w:w="0" w:type="dxa"/>
            <w:left w:w="108" w:type="dxa"/>
            <w:bottom w:w="0" w:type="dxa"/>
            <w:right w:w="108" w:type="dxa"/>
          </w:tblCellMar>
        </w:tblPrEx>
        <w:trPr>
          <w:trHeight w:val="300" w:hRule="atLeast"/>
        </w:trPr>
        <w:tc>
          <w:tcPr>
            <w:tcW w:w="1870" w:type="dxa"/>
            <w:gridSpan w:val="3"/>
            <w:tcBorders>
              <w:top w:val="nil"/>
              <w:left w:val="single" w:color="000000" w:sz="4" w:space="0"/>
              <w:bottom w:val="single" w:color="000000" w:sz="4" w:space="0"/>
              <w:right w:val="single" w:color="000000" w:sz="4" w:space="0"/>
            </w:tcBorders>
            <w:shd w:val="clear" w:color="000000" w:fill="FFFFFF"/>
            <w:vAlign w:val="center"/>
          </w:tcPr>
          <w:p>
            <w:pPr>
              <w:rPr>
                <w:rFonts w:cs="Arial"/>
                <w:sz w:val="20"/>
                <w:szCs w:val="20"/>
              </w:rPr>
            </w:pPr>
            <w:r>
              <w:rPr>
                <w:rFonts w:hint="eastAsia" w:cs="Arial"/>
                <w:sz w:val="20"/>
                <w:szCs w:val="20"/>
              </w:rPr>
              <w:t>　</w:t>
            </w:r>
          </w:p>
        </w:tc>
        <w:tc>
          <w:tcPr>
            <w:tcW w:w="1547" w:type="dxa"/>
            <w:gridSpan w:val="2"/>
            <w:tcBorders>
              <w:top w:val="nil"/>
              <w:left w:val="nil"/>
              <w:bottom w:val="single" w:color="000000" w:sz="4" w:space="0"/>
              <w:right w:val="single" w:color="000000" w:sz="4" w:space="0"/>
            </w:tcBorders>
            <w:shd w:val="clear" w:color="000000" w:fill="CCFFFF"/>
            <w:vAlign w:val="center"/>
          </w:tcPr>
          <w:p>
            <w:pPr>
              <w:rPr>
                <w:rFonts w:cs="Arial"/>
                <w:sz w:val="20"/>
                <w:szCs w:val="20"/>
              </w:rPr>
            </w:pPr>
            <w:r>
              <w:rPr>
                <w:rFonts w:hint="eastAsia" w:cs="Arial"/>
                <w:sz w:val="20"/>
                <w:szCs w:val="20"/>
              </w:rPr>
              <w:t>　</w:t>
            </w:r>
          </w:p>
        </w:tc>
        <w:tc>
          <w:tcPr>
            <w:tcW w:w="1680" w:type="dxa"/>
            <w:gridSpan w:val="2"/>
            <w:tcBorders>
              <w:top w:val="nil"/>
              <w:left w:val="nil"/>
              <w:bottom w:val="single" w:color="000000" w:sz="4" w:space="0"/>
              <w:right w:val="single" w:color="000000" w:sz="4" w:space="0"/>
            </w:tcBorders>
            <w:shd w:val="clear" w:color="000000" w:fill="FFFFFF"/>
            <w:vAlign w:val="center"/>
          </w:tcPr>
          <w:p>
            <w:pPr>
              <w:jc w:val="right"/>
              <w:rPr>
                <w:rFonts w:cs="Arial"/>
                <w:sz w:val="20"/>
                <w:szCs w:val="20"/>
              </w:rPr>
            </w:pPr>
            <w:r>
              <w:rPr>
                <w:rFonts w:hint="eastAsia" w:cs="Arial"/>
                <w:sz w:val="20"/>
                <w:szCs w:val="20"/>
              </w:rPr>
              <w:t>　</w:t>
            </w:r>
          </w:p>
        </w:tc>
        <w:tc>
          <w:tcPr>
            <w:tcW w:w="1680" w:type="dxa"/>
            <w:gridSpan w:val="2"/>
            <w:tcBorders>
              <w:top w:val="nil"/>
              <w:left w:val="nil"/>
              <w:bottom w:val="single" w:color="000000" w:sz="4" w:space="0"/>
              <w:right w:val="single" w:color="000000" w:sz="4" w:space="0"/>
            </w:tcBorders>
            <w:shd w:val="clear" w:color="000000" w:fill="FFFFFF"/>
            <w:vAlign w:val="center"/>
          </w:tcPr>
          <w:p>
            <w:pPr>
              <w:jc w:val="right"/>
              <w:rPr>
                <w:rFonts w:cs="Arial"/>
                <w:sz w:val="20"/>
                <w:szCs w:val="20"/>
              </w:rPr>
            </w:pPr>
            <w:r>
              <w:rPr>
                <w:rFonts w:hint="eastAsia" w:cs="Arial"/>
                <w:sz w:val="20"/>
                <w:szCs w:val="20"/>
              </w:rPr>
              <w:t>　</w:t>
            </w:r>
          </w:p>
        </w:tc>
        <w:tc>
          <w:tcPr>
            <w:tcW w:w="1680" w:type="dxa"/>
            <w:gridSpan w:val="3"/>
            <w:tcBorders>
              <w:top w:val="nil"/>
              <w:left w:val="nil"/>
              <w:bottom w:val="single" w:color="000000" w:sz="4" w:space="0"/>
              <w:right w:val="single" w:color="000000" w:sz="4" w:space="0"/>
            </w:tcBorders>
            <w:shd w:val="clear" w:color="000000" w:fill="FFFFFF"/>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8457" w:type="dxa"/>
            <w:gridSpan w:val="12"/>
            <w:tcBorders>
              <w:top w:val="nil"/>
              <w:left w:val="nil"/>
              <w:bottom w:val="nil"/>
              <w:right w:val="nil"/>
            </w:tcBorders>
            <w:shd w:val="clear" w:color="000000" w:fill="FFFFFF"/>
            <w:vAlign w:val="center"/>
          </w:tcPr>
          <w:p>
            <w:pPr>
              <w:pStyle w:val="13"/>
              <w:spacing w:before="0" w:beforeAutospacing="0"/>
              <w:ind w:firstLine="500" w:firstLineChars="250"/>
              <w:outlineLvl w:val="1"/>
              <w:rPr>
                <w:rFonts w:cs="楷体" w:asciiTheme="minorEastAsia" w:hAnsiTheme="minorEastAsia" w:eastAsiaTheme="minorEastAsia"/>
                <w:sz w:val="20"/>
                <w:szCs w:val="20"/>
                <w:shd w:val="clear" w:color="auto" w:fill="FFFFFF"/>
              </w:rPr>
            </w:pPr>
            <w:r>
              <w:rPr>
                <w:rFonts w:hint="eastAsia" w:cs="Arial"/>
                <w:sz w:val="20"/>
                <w:szCs w:val="20"/>
              </w:rPr>
              <w:t>注：本表反映部门本年度国有资本经营预算财政拨款支出情况。</w:t>
            </w:r>
            <w:r>
              <w:rPr>
                <w:rFonts w:hint="eastAsia" w:cs="楷体" w:asciiTheme="minorEastAsia" w:hAnsiTheme="minorEastAsia" w:eastAsiaTheme="minorEastAsia"/>
                <w:sz w:val="20"/>
                <w:szCs w:val="20"/>
                <w:shd w:val="clear" w:color="auto" w:fill="FFFFFF"/>
              </w:rPr>
              <w:t>2020年度本部门无国有资本经营预算收支，因此本表无数据。</w:t>
            </w:r>
          </w:p>
          <w:p>
            <w:pPr>
              <w:rPr>
                <w:rFonts w:cs="Arial"/>
                <w:sz w:val="20"/>
                <w:szCs w:val="20"/>
              </w:rPr>
            </w:pPr>
          </w:p>
        </w:tc>
      </w:tr>
    </w:tbl>
    <w:p>
      <w:pPr>
        <w:rPr>
          <w:rStyle w:val="16"/>
          <w:rFonts w:ascii="楷体" w:hAnsi="楷体" w:eastAsia="楷体" w:cs="楷体"/>
          <w:sz w:val="32"/>
          <w:szCs w:val="32"/>
          <w:shd w:val="clear" w:color="auto" w:fill="FFFFFF"/>
        </w:rPr>
      </w:pPr>
      <w:r>
        <w:rPr>
          <w:rStyle w:val="16"/>
          <w:rFonts w:ascii="楷体" w:hAnsi="楷体" w:eastAsia="楷体" w:cs="楷体"/>
          <w:sz w:val="32"/>
          <w:szCs w:val="32"/>
          <w:shd w:val="clear" w:color="auto" w:fill="FFFFFF"/>
        </w:rPr>
        <w:br w:type="page"/>
      </w:r>
    </w:p>
    <w:p>
      <w:pPr>
        <w:pStyle w:val="13"/>
        <w:spacing w:before="0" w:beforeAutospacing="0"/>
        <w:jc w:val="center"/>
        <w:outlineLvl w:val="0"/>
        <w:rPr>
          <w:rFonts w:cs="宋体"/>
          <w:b w:val="0"/>
          <w:bCs/>
          <w:sz w:val="44"/>
          <w:szCs w:val="44"/>
        </w:rPr>
      </w:pPr>
      <w:bookmarkStart w:id="13" w:name="_Toc1903"/>
      <w:r>
        <w:rPr>
          <w:rStyle w:val="16"/>
          <w:rFonts w:hint="eastAsia" w:ascii="黑体" w:hAnsi="黑体" w:eastAsia="黑体" w:cs="黑体"/>
          <w:b w:val="0"/>
          <w:bCs/>
          <w:sz w:val="44"/>
          <w:szCs w:val="44"/>
          <w:shd w:val="clear" w:color="auto" w:fill="FFFFFF"/>
        </w:rPr>
        <w:t>第三部分 2020年度部门决算情况说明</w:t>
      </w:r>
      <w:bookmarkEnd w:id="13"/>
    </w:p>
    <w:p>
      <w:pPr>
        <w:pStyle w:val="13"/>
        <w:spacing w:before="0" w:beforeAutospacing="0" w:after="0" w:afterAutospacing="0" w:line="560" w:lineRule="exact"/>
        <w:ind w:firstLine="640" w:firstLineChars="200"/>
        <w:outlineLvl w:val="1"/>
        <w:rPr>
          <w:rStyle w:val="16"/>
          <w:rFonts w:ascii="楷体_GB2312" w:eastAsia="楷体_GB2312"/>
          <w:color w:val="FF0000"/>
          <w:shd w:val="clear" w:color="auto" w:fill="FFFFFF"/>
        </w:rPr>
      </w:pPr>
      <w:bookmarkStart w:id="14" w:name="_Toc20259"/>
      <w:bookmarkStart w:id="15" w:name="_Toc8716"/>
      <w:r>
        <w:rPr>
          <w:rStyle w:val="16"/>
          <w:rFonts w:hint="eastAsia" w:ascii="楷体_GB2312" w:hAnsi="楷体" w:eastAsia="楷体_GB2312" w:cs="楷体"/>
          <w:b w:val="0"/>
          <w:sz w:val="32"/>
          <w:szCs w:val="32"/>
          <w:shd w:val="clear" w:color="auto" w:fill="FFFFFF"/>
        </w:rPr>
        <w:t>一、收入支出决算总体情况说明</w:t>
      </w:r>
      <w:bookmarkEnd w:id="14"/>
      <w:bookmarkEnd w:id="15"/>
    </w:p>
    <w:p>
      <w:pPr>
        <w:pStyle w:val="13"/>
        <w:spacing w:before="0" w:beforeAutospacing="0" w:after="0" w:afterAutospacing="0" w:line="560" w:lineRule="exact"/>
        <w:ind w:firstLine="640" w:firstLineChars="200"/>
        <w:rPr>
          <w:rFonts w:ascii="仿宋_GB2312" w:eastAsia="仿宋_GB2312" w:cs="宋体"/>
          <w:sz w:val="32"/>
          <w:szCs w:val="32"/>
          <w:highlight w:val="none"/>
        </w:rPr>
      </w:pPr>
      <w:bookmarkStart w:id="16" w:name="_Toc20242"/>
      <w:r>
        <w:rPr>
          <w:rFonts w:hint="eastAsia" w:ascii="仿宋_GB2312" w:eastAsia="仿宋_GB2312" w:cs="宋体"/>
          <w:sz w:val="32"/>
          <w:szCs w:val="32"/>
          <w:highlight w:val="none"/>
        </w:rPr>
        <w:t>2020年收入、支出总计1745</w:t>
      </w:r>
      <w:r>
        <w:rPr>
          <w:rFonts w:hint="eastAsia" w:ascii="仿宋_GB2312" w:eastAsia="仿宋_GB2312" w:cs="宋体"/>
          <w:sz w:val="32"/>
          <w:szCs w:val="32"/>
          <w:highlight w:val="none"/>
          <w:lang w:val="en-US" w:eastAsia="zh-CN"/>
        </w:rPr>
        <w:t>.</w:t>
      </w:r>
      <w:r>
        <w:rPr>
          <w:rFonts w:hint="eastAsia" w:ascii="仿宋_GB2312" w:eastAsia="仿宋_GB2312" w:cs="宋体"/>
          <w:sz w:val="32"/>
          <w:szCs w:val="32"/>
          <w:highlight w:val="none"/>
        </w:rPr>
        <w:t>4</w:t>
      </w:r>
      <w:r>
        <w:rPr>
          <w:rFonts w:hint="eastAsia" w:ascii="仿宋_GB2312" w:eastAsia="仿宋_GB2312" w:cs="宋体"/>
          <w:sz w:val="32"/>
          <w:szCs w:val="32"/>
          <w:highlight w:val="none"/>
          <w:lang w:val="en-US" w:eastAsia="zh-CN"/>
        </w:rPr>
        <w:t>7</w:t>
      </w:r>
      <w:r>
        <w:rPr>
          <w:rFonts w:hint="eastAsia" w:ascii="仿宋_GB2312" w:eastAsia="仿宋_GB2312" w:cs="宋体"/>
          <w:sz w:val="32"/>
          <w:szCs w:val="32"/>
          <w:highlight w:val="none"/>
        </w:rPr>
        <w:t>万元，较2019年</w:t>
      </w:r>
      <w:r>
        <w:rPr>
          <w:rFonts w:hint="eastAsia" w:ascii="仿宋_GB2312" w:eastAsia="仿宋_GB2312" w:cs="宋体"/>
          <w:sz w:val="32"/>
          <w:szCs w:val="32"/>
          <w:highlight w:val="none"/>
          <w:lang w:val="en-US" w:eastAsia="zh-CN"/>
        </w:rPr>
        <w:t>2206.86</w:t>
      </w:r>
      <w:r>
        <w:rPr>
          <w:rFonts w:hint="eastAsia" w:ascii="仿宋_GB2312" w:eastAsia="仿宋_GB2312" w:cs="宋体"/>
          <w:sz w:val="32"/>
          <w:szCs w:val="32"/>
          <w:highlight w:val="none"/>
        </w:rPr>
        <w:t>万元减少</w:t>
      </w:r>
      <w:r>
        <w:rPr>
          <w:rFonts w:hint="eastAsia" w:ascii="仿宋_GB2312" w:eastAsia="仿宋_GB2312" w:cs="宋体"/>
          <w:sz w:val="32"/>
          <w:szCs w:val="32"/>
          <w:highlight w:val="none"/>
          <w:lang w:val="en-US" w:eastAsia="zh-CN"/>
        </w:rPr>
        <w:t>461.39</w:t>
      </w:r>
      <w:r>
        <w:rPr>
          <w:rFonts w:hint="eastAsia" w:ascii="仿宋_GB2312" w:eastAsia="仿宋_GB2312" w:cs="宋体"/>
          <w:sz w:val="32"/>
          <w:szCs w:val="32"/>
          <w:highlight w:val="none"/>
        </w:rPr>
        <w:t>万元，降幅</w:t>
      </w:r>
      <w:r>
        <w:rPr>
          <w:rFonts w:hint="eastAsia" w:ascii="仿宋_GB2312" w:eastAsia="仿宋_GB2312" w:cs="宋体"/>
          <w:sz w:val="32"/>
          <w:szCs w:val="32"/>
          <w:highlight w:val="none"/>
          <w:lang w:val="en-US" w:eastAsia="zh-CN"/>
        </w:rPr>
        <w:t>20.91</w:t>
      </w:r>
      <w:r>
        <w:rPr>
          <w:rFonts w:hint="eastAsia" w:ascii="仿宋_GB2312" w:eastAsia="仿宋_GB2312" w:cs="宋体"/>
          <w:sz w:val="32"/>
          <w:szCs w:val="32"/>
          <w:highlight w:val="none"/>
        </w:rPr>
        <w:t>%。收支下降的主要原因是为落实中央和省委省政府过“紧”日子的政策要求，压减一般性支出5%</w:t>
      </w:r>
      <w:r>
        <w:rPr>
          <w:rFonts w:hint="eastAsia" w:ascii="仿宋_GB2312" w:eastAsia="仿宋_GB2312" w:cs="宋体"/>
          <w:sz w:val="32"/>
          <w:szCs w:val="32"/>
          <w:highlight w:val="none"/>
          <w:lang w:val="en-US" w:eastAsia="zh-CN"/>
        </w:rPr>
        <w:t>,同时地方财政财政困难，追加预算和非税返还大幅减少，上年度地方性奖励津贴均未发放</w:t>
      </w:r>
      <w:r>
        <w:rPr>
          <w:rFonts w:hint="eastAsia" w:ascii="仿宋_GB2312" w:eastAsia="仿宋_GB2312" w:cs="宋体"/>
          <w:sz w:val="32"/>
          <w:szCs w:val="32"/>
          <w:highlight w:val="none"/>
        </w:rPr>
        <w:t>。</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bookmarkStart w:id="17" w:name="_Toc1157"/>
      <w:r>
        <w:rPr>
          <w:rStyle w:val="16"/>
          <w:rFonts w:hint="eastAsia" w:ascii="楷体_GB2312" w:hAnsi="楷体" w:eastAsia="楷体_GB2312" w:cs="楷体"/>
          <w:b w:val="0"/>
          <w:sz w:val="32"/>
          <w:szCs w:val="32"/>
          <w:shd w:val="clear" w:color="auto" w:fill="FFFFFF"/>
        </w:rPr>
        <w:t>二、收入决算情况说明</w:t>
      </w:r>
      <w:bookmarkEnd w:id="16"/>
      <w:bookmarkEnd w:id="17"/>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本年收入合计</w:t>
      </w:r>
      <w:r>
        <w:rPr>
          <w:rFonts w:hint="eastAsia" w:ascii="仿宋_GB2312" w:eastAsia="仿宋_GB2312" w:cs="宋体"/>
          <w:sz w:val="32"/>
          <w:szCs w:val="32"/>
          <w:lang w:val="en-US" w:eastAsia="zh-CN"/>
        </w:rPr>
        <w:t>1527.65</w:t>
      </w:r>
      <w:r>
        <w:rPr>
          <w:rFonts w:hint="eastAsia" w:ascii="仿宋_GB2312" w:eastAsia="仿宋_GB2312"/>
          <w:sz w:val="32"/>
          <w:szCs w:val="32"/>
        </w:rPr>
        <w:t>万元，其中，财政拨款收入</w:t>
      </w:r>
      <w:r>
        <w:rPr>
          <w:rFonts w:hint="eastAsia" w:ascii="仿宋_GB2312" w:eastAsia="仿宋_GB2312" w:cs="宋体"/>
          <w:sz w:val="32"/>
          <w:szCs w:val="32"/>
          <w:lang w:val="en-US" w:eastAsia="zh-CN"/>
        </w:rPr>
        <w:t>1471.51</w:t>
      </w:r>
      <w:r>
        <w:rPr>
          <w:rFonts w:hint="eastAsia" w:ascii="仿宋_GB2312" w:eastAsia="仿宋_GB2312"/>
          <w:sz w:val="32"/>
          <w:szCs w:val="32"/>
        </w:rPr>
        <w:t>万元，占比</w:t>
      </w:r>
      <w:r>
        <w:rPr>
          <w:rFonts w:hint="eastAsia" w:ascii="仿宋_GB2312" w:eastAsia="仿宋_GB2312" w:cs="宋体"/>
          <w:sz w:val="32"/>
          <w:szCs w:val="32"/>
          <w:lang w:val="en-US" w:eastAsia="zh-CN"/>
        </w:rPr>
        <w:t>96.33</w:t>
      </w:r>
      <w:r>
        <w:rPr>
          <w:rFonts w:hint="eastAsia" w:ascii="仿宋_GB2312" w:eastAsia="仿宋_GB2312" w:cs="宋体"/>
          <w:sz w:val="32"/>
          <w:szCs w:val="32"/>
        </w:rPr>
        <w:t>%</w:t>
      </w:r>
      <w:r>
        <w:rPr>
          <w:rFonts w:hint="eastAsia" w:ascii="仿宋_GB2312" w:eastAsia="仿宋_GB2312"/>
          <w:sz w:val="32"/>
          <w:szCs w:val="32"/>
        </w:rPr>
        <w:t>；其他收入</w:t>
      </w:r>
      <w:r>
        <w:rPr>
          <w:rFonts w:hint="eastAsia" w:ascii="仿宋_GB2312" w:eastAsia="仿宋_GB2312"/>
          <w:sz w:val="32"/>
          <w:szCs w:val="32"/>
          <w:lang w:val="en-US" w:eastAsia="zh-CN"/>
        </w:rPr>
        <w:t>56.14</w:t>
      </w:r>
      <w:r>
        <w:rPr>
          <w:rFonts w:hint="eastAsia" w:ascii="仿宋_GB2312" w:eastAsia="仿宋_GB2312"/>
          <w:sz w:val="32"/>
          <w:szCs w:val="32"/>
        </w:rPr>
        <w:t>万元，占比</w:t>
      </w:r>
      <w:r>
        <w:rPr>
          <w:rFonts w:hint="eastAsia" w:ascii="仿宋_GB2312" w:eastAsia="仿宋_GB2312"/>
          <w:sz w:val="32"/>
          <w:szCs w:val="32"/>
          <w:lang w:val="en-US" w:eastAsia="zh-CN"/>
        </w:rPr>
        <w:t>3.67</w:t>
      </w:r>
      <w:r>
        <w:rPr>
          <w:rFonts w:hint="eastAsia" w:ascii="仿宋_GB2312" w:eastAsia="仿宋_GB2312"/>
          <w:sz w:val="32"/>
          <w:szCs w:val="32"/>
        </w:rPr>
        <w:t>%。</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bookmarkStart w:id="18" w:name="_Toc7581"/>
      <w:bookmarkStart w:id="19" w:name="_Toc32306"/>
      <w:r>
        <w:rPr>
          <w:rStyle w:val="16"/>
          <w:rFonts w:hint="eastAsia" w:ascii="楷体_GB2312" w:hAnsi="楷体" w:eastAsia="楷体_GB2312" w:cs="楷体"/>
          <w:b w:val="0"/>
          <w:sz w:val="32"/>
          <w:szCs w:val="32"/>
          <w:shd w:val="clear" w:color="auto" w:fill="FFFFFF"/>
        </w:rPr>
        <w:t>三、支出决算情况说明</w:t>
      </w:r>
      <w:bookmarkEnd w:id="18"/>
      <w:bookmarkEnd w:id="19"/>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cs="宋体"/>
          <w:sz w:val="32"/>
          <w:szCs w:val="32"/>
          <w:lang w:val="en-US" w:eastAsia="zh-CN"/>
        </w:rPr>
        <w:t>1577.8</w:t>
      </w:r>
      <w:r>
        <w:rPr>
          <w:rFonts w:hint="eastAsia" w:ascii="仿宋_GB2312" w:eastAsia="仿宋_GB2312"/>
          <w:sz w:val="32"/>
          <w:szCs w:val="32"/>
        </w:rPr>
        <w:t>万元，其中，基本支出</w:t>
      </w:r>
      <w:r>
        <w:rPr>
          <w:rFonts w:hint="eastAsia" w:ascii="仿宋_GB2312" w:eastAsia="仿宋_GB2312"/>
          <w:sz w:val="32"/>
          <w:szCs w:val="32"/>
          <w:lang w:val="en-US" w:eastAsia="zh-CN"/>
        </w:rPr>
        <w:t>1505.36</w:t>
      </w:r>
      <w:r>
        <w:rPr>
          <w:rFonts w:hint="eastAsia" w:ascii="仿宋_GB2312" w:eastAsia="仿宋_GB2312"/>
          <w:sz w:val="32"/>
          <w:szCs w:val="32"/>
        </w:rPr>
        <w:t>万元，占比</w:t>
      </w:r>
      <w:r>
        <w:rPr>
          <w:rFonts w:hint="eastAsia" w:ascii="仿宋_GB2312" w:eastAsia="仿宋_GB2312"/>
          <w:sz w:val="32"/>
          <w:szCs w:val="32"/>
          <w:lang w:val="en-US" w:eastAsia="zh-CN"/>
        </w:rPr>
        <w:t>95.41</w:t>
      </w:r>
      <w:r>
        <w:rPr>
          <w:rFonts w:hint="eastAsia" w:ascii="仿宋_GB2312" w:eastAsia="仿宋_GB2312"/>
          <w:sz w:val="32"/>
          <w:szCs w:val="32"/>
        </w:rPr>
        <w:t>%；项目支出</w:t>
      </w:r>
      <w:r>
        <w:rPr>
          <w:rFonts w:hint="eastAsia" w:ascii="仿宋_GB2312" w:eastAsia="仿宋_GB2312"/>
          <w:sz w:val="32"/>
          <w:szCs w:val="32"/>
          <w:lang w:val="en-US" w:eastAsia="zh-CN"/>
        </w:rPr>
        <w:t>72.44</w:t>
      </w:r>
      <w:r>
        <w:rPr>
          <w:rFonts w:hint="eastAsia" w:ascii="仿宋_GB2312" w:eastAsia="仿宋_GB2312"/>
          <w:sz w:val="32"/>
          <w:szCs w:val="32"/>
        </w:rPr>
        <w:t>万元，占比</w:t>
      </w:r>
      <w:r>
        <w:rPr>
          <w:rFonts w:hint="eastAsia" w:ascii="仿宋_GB2312" w:eastAsia="仿宋_GB2312"/>
          <w:sz w:val="32"/>
          <w:szCs w:val="32"/>
          <w:lang w:val="en-US" w:eastAsia="zh-CN"/>
        </w:rPr>
        <w:t>4.59</w:t>
      </w:r>
      <w:r>
        <w:rPr>
          <w:rFonts w:hint="eastAsia" w:ascii="仿宋_GB2312" w:eastAsia="仿宋_GB2312"/>
          <w:sz w:val="32"/>
          <w:szCs w:val="32"/>
        </w:rPr>
        <w:t>%。</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hd w:val="clear" w:color="auto" w:fill="FFFFFF"/>
        </w:rPr>
      </w:pPr>
      <w:bookmarkStart w:id="20" w:name="_Toc1788"/>
      <w:bookmarkStart w:id="21" w:name="_Toc19070"/>
      <w:r>
        <w:rPr>
          <w:rStyle w:val="16"/>
          <w:rFonts w:hint="eastAsia" w:ascii="楷体_GB2312" w:hAnsi="楷体" w:eastAsia="楷体_GB2312" w:cs="楷体"/>
          <w:b w:val="0"/>
          <w:sz w:val="32"/>
          <w:szCs w:val="32"/>
          <w:shd w:val="clear" w:color="auto" w:fill="FFFFFF"/>
        </w:rPr>
        <w:t>四、财政拨款收入支出决算总体情况说明</w:t>
      </w:r>
      <w:bookmarkEnd w:id="20"/>
      <w:bookmarkEnd w:id="21"/>
    </w:p>
    <w:p>
      <w:pPr>
        <w:pStyle w:val="13"/>
        <w:spacing w:before="0" w:beforeAutospacing="0" w:after="0" w:afterAutospacing="0"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2020年度财政拨款收入、支出总计</w:t>
      </w:r>
      <w:r>
        <w:rPr>
          <w:rFonts w:hint="eastAsia" w:ascii="仿宋_GB2312" w:eastAsia="仿宋_GB2312"/>
          <w:sz w:val="32"/>
          <w:szCs w:val="32"/>
          <w:lang w:val="en-US" w:eastAsia="zh-CN"/>
        </w:rPr>
        <w:t>1471.51</w:t>
      </w:r>
      <w:r>
        <w:rPr>
          <w:rFonts w:hint="eastAsia" w:ascii="仿宋_GB2312" w:eastAsia="仿宋_GB2312"/>
          <w:sz w:val="32"/>
          <w:szCs w:val="32"/>
        </w:rPr>
        <w:t>万元，较上年</w:t>
      </w:r>
      <w:r>
        <w:rPr>
          <w:rFonts w:hint="eastAsia" w:ascii="仿宋_GB2312" w:eastAsia="仿宋_GB2312"/>
          <w:sz w:val="32"/>
          <w:szCs w:val="32"/>
          <w:lang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86.64</w:t>
      </w:r>
      <w:r>
        <w:rPr>
          <w:rFonts w:hint="eastAsia" w:ascii="仿宋_GB2312" w:eastAsia="仿宋_GB2312"/>
          <w:sz w:val="32"/>
          <w:szCs w:val="32"/>
        </w:rPr>
        <w:t>万元，</w:t>
      </w:r>
      <w:r>
        <w:rPr>
          <w:rFonts w:hint="eastAsia" w:ascii="仿宋_GB2312" w:eastAsia="仿宋_GB2312"/>
          <w:sz w:val="32"/>
          <w:szCs w:val="32"/>
          <w:lang w:eastAsia="zh-CN"/>
        </w:rPr>
        <w:t>降幅</w:t>
      </w:r>
      <w:r>
        <w:rPr>
          <w:rFonts w:hint="eastAsia" w:ascii="仿宋_GB2312" w:eastAsia="仿宋_GB2312"/>
          <w:sz w:val="32"/>
          <w:szCs w:val="32"/>
          <w:lang w:val="en-US" w:eastAsia="zh-CN"/>
        </w:rPr>
        <w:t>5.56</w:t>
      </w:r>
      <w:r>
        <w:rPr>
          <w:rFonts w:hint="eastAsia" w:ascii="仿宋_GB2312" w:eastAsia="仿宋_GB2312"/>
          <w:sz w:val="32"/>
          <w:szCs w:val="32"/>
        </w:rPr>
        <w:t>%。</w:t>
      </w:r>
      <w:r>
        <w:rPr>
          <w:rFonts w:eastAsia="仿宋_GB2312"/>
          <w:sz w:val="32"/>
          <w:szCs w:val="32"/>
        </w:rPr>
        <w:t>财政拨款收支</w:t>
      </w:r>
      <w:r>
        <w:rPr>
          <w:rFonts w:hint="eastAsia" w:eastAsia="仿宋_GB2312"/>
          <w:sz w:val="32"/>
          <w:szCs w:val="32"/>
          <w:lang w:eastAsia="zh-CN"/>
        </w:rPr>
        <w:t>减少</w:t>
      </w:r>
      <w:r>
        <w:rPr>
          <w:rFonts w:eastAsia="仿宋_GB2312"/>
          <w:sz w:val="32"/>
          <w:szCs w:val="32"/>
        </w:rPr>
        <w:t>的主要原因</w:t>
      </w:r>
      <w:r>
        <w:rPr>
          <w:rFonts w:hint="eastAsia" w:ascii="仿宋_GB2312" w:eastAsia="仿宋_GB2312" w:cs="宋体"/>
          <w:sz w:val="32"/>
          <w:szCs w:val="32"/>
        </w:rPr>
        <w:t>是为落实中央和省委省政府过“紧”日子的政策要求，压减一般性支出5%</w:t>
      </w:r>
      <w:r>
        <w:rPr>
          <w:rFonts w:hint="eastAsia" w:ascii="仿宋_GB2312" w:eastAsia="仿宋_GB2312"/>
          <w:sz w:val="32"/>
          <w:szCs w:val="32"/>
        </w:rPr>
        <w:t>。</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hd w:val="clear" w:color="auto" w:fill="FFFFFF"/>
        </w:rPr>
      </w:pPr>
      <w:bookmarkStart w:id="22" w:name="_Toc28242"/>
      <w:bookmarkStart w:id="23" w:name="_Toc330"/>
      <w:r>
        <w:rPr>
          <w:rStyle w:val="16"/>
          <w:rFonts w:hint="eastAsia" w:ascii="楷体_GB2312" w:hAnsi="楷体" w:eastAsia="楷体_GB2312" w:cs="楷体"/>
          <w:b w:val="0"/>
          <w:sz w:val="32"/>
          <w:szCs w:val="32"/>
          <w:shd w:val="clear" w:color="auto" w:fill="FFFFFF"/>
        </w:rPr>
        <w:t>五、一般公共预算财政拨款支出决算情况说明</w:t>
      </w:r>
      <w:bookmarkEnd w:id="22"/>
      <w:bookmarkEnd w:id="23"/>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（一）财政拨款支出决算总体情况</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sz w:val="32"/>
          <w:szCs w:val="32"/>
        </w:rPr>
        <w:t>2020年度财政拨款支出</w:t>
      </w:r>
      <w:r>
        <w:rPr>
          <w:rFonts w:hint="eastAsia" w:ascii="仿宋_GB2312" w:eastAsia="仿宋_GB2312"/>
          <w:sz w:val="32"/>
          <w:szCs w:val="32"/>
          <w:lang w:val="en-US" w:eastAsia="zh-CN"/>
        </w:rPr>
        <w:t>1405.7</w:t>
      </w:r>
      <w:r>
        <w:rPr>
          <w:rFonts w:hint="eastAsia" w:ascii="仿宋_GB2312" w:eastAsia="仿宋_GB2312"/>
          <w:sz w:val="32"/>
          <w:szCs w:val="32"/>
        </w:rPr>
        <w:t>万元，占本年支出合计的</w:t>
      </w:r>
      <w:r>
        <w:rPr>
          <w:rFonts w:hint="eastAsia" w:ascii="仿宋_GB2312" w:eastAsia="仿宋_GB2312"/>
          <w:sz w:val="32"/>
          <w:szCs w:val="32"/>
          <w:lang w:val="en-US" w:eastAsia="zh-CN"/>
        </w:rPr>
        <w:t>89.09</w:t>
      </w:r>
      <w:r>
        <w:rPr>
          <w:rFonts w:hint="eastAsia" w:ascii="仿宋_GB2312" w:eastAsia="仿宋_GB2312"/>
          <w:sz w:val="32"/>
          <w:szCs w:val="32"/>
        </w:rPr>
        <w:t>%，较2019年度财政拨款支出减少</w:t>
      </w:r>
      <w:r>
        <w:rPr>
          <w:rFonts w:hint="eastAsia" w:ascii="仿宋_GB2312" w:eastAsia="仿宋_GB2312"/>
          <w:sz w:val="32"/>
          <w:szCs w:val="32"/>
          <w:lang w:val="en-US" w:eastAsia="zh-CN"/>
        </w:rPr>
        <w:t>105.84</w:t>
      </w:r>
      <w:r>
        <w:rPr>
          <w:rFonts w:hint="eastAsia" w:ascii="仿宋_GB2312" w:eastAsia="仿宋_GB2312"/>
          <w:sz w:val="32"/>
          <w:szCs w:val="32"/>
        </w:rPr>
        <w:t>万元，降幅</w:t>
      </w:r>
      <w:r>
        <w:rPr>
          <w:rFonts w:hint="eastAsia" w:ascii="仿宋_GB2312" w:eastAsia="仿宋_GB2312"/>
          <w:sz w:val="32"/>
          <w:szCs w:val="32"/>
          <w:lang w:val="en-US" w:eastAsia="zh-CN"/>
        </w:rPr>
        <w:t>7</w:t>
      </w:r>
      <w:r>
        <w:rPr>
          <w:rFonts w:hint="eastAsia" w:ascii="仿宋_GB2312" w:eastAsia="仿宋_GB2312"/>
          <w:sz w:val="32"/>
          <w:szCs w:val="32"/>
        </w:rPr>
        <w:t>%。财政拨款支出下降的主要原因</w:t>
      </w:r>
      <w:r>
        <w:rPr>
          <w:rFonts w:hint="eastAsia" w:ascii="仿宋_GB2312" w:eastAsia="仿宋_GB2312" w:cs="宋体"/>
          <w:sz w:val="32"/>
          <w:szCs w:val="32"/>
        </w:rPr>
        <w:t>是为落实中央和省委省政府过“紧”日子的政策要求，压减一般性支出5%。</w:t>
      </w:r>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（二）财政拨款支出决算结构情况</w:t>
      </w:r>
    </w:p>
    <w:p>
      <w:pPr>
        <w:spacing w:line="560" w:lineRule="exact"/>
        <w:ind w:firstLine="640" w:firstLineChars="200"/>
        <w:rPr>
          <w:rFonts w:ascii="仿宋_GB2312" w:eastAsia="仿宋_GB2312"/>
          <w:color w:val="FF0000"/>
        </w:rPr>
      </w:pPr>
      <w:r>
        <w:rPr>
          <w:rFonts w:hint="eastAsia" w:ascii="仿宋_GB2312" w:eastAsia="仿宋_GB2312" w:cs="宋体"/>
          <w:sz w:val="32"/>
          <w:szCs w:val="32"/>
        </w:rPr>
        <w:t>2020年度财政拨款支出</w:t>
      </w:r>
      <w:r>
        <w:rPr>
          <w:rFonts w:hint="eastAsia" w:ascii="仿宋_GB2312" w:eastAsia="仿宋_GB2312"/>
          <w:sz w:val="32"/>
          <w:szCs w:val="32"/>
          <w:lang w:val="en-US" w:eastAsia="zh-CN"/>
        </w:rPr>
        <w:t>1405.7</w:t>
      </w:r>
      <w:r>
        <w:rPr>
          <w:rFonts w:hint="eastAsia" w:ascii="仿宋_GB2312" w:eastAsia="仿宋_GB2312" w:cs="宋体"/>
          <w:sz w:val="32"/>
          <w:szCs w:val="32"/>
        </w:rPr>
        <w:t>万元，主要用于以下方面：公共安全支出</w:t>
      </w:r>
      <w:r>
        <w:rPr>
          <w:rFonts w:hint="eastAsia" w:ascii="仿宋_GB2312" w:eastAsia="仿宋_GB2312" w:cs="宋体"/>
          <w:sz w:val="32"/>
          <w:szCs w:val="32"/>
          <w:lang w:val="en-US" w:eastAsia="zh-CN"/>
        </w:rPr>
        <w:t>1213.42</w:t>
      </w:r>
      <w:r>
        <w:rPr>
          <w:rFonts w:hint="eastAsia" w:ascii="仿宋_GB2312" w:eastAsia="仿宋_GB2312" w:cs="宋体"/>
          <w:sz w:val="32"/>
          <w:szCs w:val="32"/>
        </w:rPr>
        <w:t>万元，占比</w:t>
      </w:r>
      <w:r>
        <w:rPr>
          <w:rFonts w:hint="eastAsia" w:ascii="仿宋_GB2312" w:eastAsia="仿宋_GB2312" w:cs="宋体"/>
          <w:sz w:val="32"/>
          <w:szCs w:val="32"/>
          <w:lang w:val="en-US" w:eastAsia="zh-CN"/>
        </w:rPr>
        <w:t>86.32</w:t>
      </w:r>
      <w:r>
        <w:rPr>
          <w:rFonts w:hint="eastAsia" w:ascii="仿宋_GB2312" w:eastAsia="仿宋_GB2312" w:cs="宋体"/>
          <w:sz w:val="32"/>
          <w:szCs w:val="32"/>
        </w:rPr>
        <w:t>%；社会保障和就业支出</w:t>
      </w:r>
      <w:r>
        <w:rPr>
          <w:rFonts w:hint="eastAsia" w:ascii="仿宋_GB2312" w:eastAsia="仿宋_GB2312" w:cs="宋体"/>
          <w:sz w:val="32"/>
          <w:szCs w:val="32"/>
          <w:lang w:val="en-US" w:eastAsia="zh-CN"/>
        </w:rPr>
        <w:t>69.94</w:t>
      </w:r>
      <w:r>
        <w:rPr>
          <w:rFonts w:hint="eastAsia" w:ascii="仿宋_GB2312" w:eastAsia="仿宋_GB2312" w:cs="宋体"/>
          <w:sz w:val="32"/>
          <w:szCs w:val="32"/>
        </w:rPr>
        <w:t>万元，占比4.9</w:t>
      </w:r>
      <w:r>
        <w:rPr>
          <w:rFonts w:hint="eastAsia" w:ascii="仿宋_GB2312" w:eastAsia="仿宋_GB2312" w:cs="宋体"/>
          <w:sz w:val="32"/>
          <w:szCs w:val="32"/>
          <w:lang w:val="en-US" w:eastAsia="zh-CN"/>
        </w:rPr>
        <w:t>8</w:t>
      </w:r>
      <w:r>
        <w:rPr>
          <w:rFonts w:hint="eastAsia" w:ascii="仿宋_GB2312" w:eastAsia="仿宋_GB2312" w:cs="宋体"/>
          <w:sz w:val="32"/>
          <w:szCs w:val="32"/>
        </w:rPr>
        <w:t>%；卫生健康支出</w:t>
      </w:r>
      <w:r>
        <w:rPr>
          <w:rFonts w:hint="eastAsia" w:ascii="仿宋_GB2312" w:eastAsia="仿宋_GB2312" w:cs="宋体"/>
          <w:sz w:val="32"/>
          <w:szCs w:val="32"/>
          <w:lang w:val="en-US" w:eastAsia="zh-CN"/>
        </w:rPr>
        <w:t>36.43</w:t>
      </w:r>
      <w:r>
        <w:rPr>
          <w:rFonts w:hint="eastAsia" w:ascii="仿宋_GB2312" w:eastAsia="仿宋_GB2312" w:cs="宋体"/>
          <w:sz w:val="32"/>
          <w:szCs w:val="32"/>
        </w:rPr>
        <w:t>万元，占比</w:t>
      </w:r>
      <w:r>
        <w:rPr>
          <w:rFonts w:hint="eastAsia" w:ascii="仿宋_GB2312" w:eastAsia="仿宋_GB2312" w:cs="宋体"/>
          <w:sz w:val="32"/>
          <w:szCs w:val="32"/>
          <w:lang w:val="en-US" w:eastAsia="zh-CN"/>
        </w:rPr>
        <w:t>2.59</w:t>
      </w:r>
      <w:r>
        <w:rPr>
          <w:rFonts w:hint="eastAsia" w:ascii="仿宋_GB2312" w:eastAsia="仿宋_GB2312" w:cs="宋体"/>
          <w:sz w:val="32"/>
          <w:szCs w:val="32"/>
        </w:rPr>
        <w:t>%；住房保障支出</w:t>
      </w:r>
      <w:r>
        <w:rPr>
          <w:rFonts w:hint="eastAsia" w:ascii="仿宋_GB2312" w:eastAsia="仿宋_GB2312" w:cs="宋体"/>
          <w:sz w:val="32"/>
          <w:szCs w:val="32"/>
          <w:lang w:val="en-US" w:eastAsia="zh-CN"/>
        </w:rPr>
        <w:t>85.91</w:t>
      </w:r>
      <w:r>
        <w:rPr>
          <w:rFonts w:hint="eastAsia" w:ascii="仿宋_GB2312" w:eastAsia="仿宋_GB2312" w:cs="宋体"/>
          <w:sz w:val="32"/>
          <w:szCs w:val="32"/>
        </w:rPr>
        <w:t>万元，占</w:t>
      </w:r>
      <w:r>
        <w:rPr>
          <w:rFonts w:hint="eastAsia" w:ascii="仿宋_GB2312" w:eastAsia="仿宋_GB2312" w:cs="宋体"/>
          <w:sz w:val="32"/>
          <w:szCs w:val="32"/>
          <w:lang w:val="en-US" w:eastAsia="zh-CN"/>
        </w:rPr>
        <w:t>6.11</w:t>
      </w:r>
      <w:r>
        <w:rPr>
          <w:rFonts w:hint="eastAsia" w:ascii="仿宋_GB2312" w:eastAsia="仿宋_GB2312" w:cs="宋体"/>
          <w:sz w:val="32"/>
          <w:szCs w:val="32"/>
        </w:rPr>
        <w:t>%。</w:t>
      </w:r>
    </w:p>
    <w:p>
      <w:pPr>
        <w:pStyle w:val="13"/>
        <w:spacing w:before="0" w:beforeAutospacing="0" w:after="0" w:afterAutospacing="0" w:line="560" w:lineRule="exact"/>
        <w:ind w:firstLine="640" w:firstLineChars="200"/>
        <w:rPr>
          <w:rStyle w:val="16"/>
          <w:rFonts w:ascii="楷体_GB2312" w:hAnsi="楷体" w:eastAsia="楷体_GB2312" w:cs="楷体"/>
          <w:b w:val="0"/>
          <w:color w:val="FF0000"/>
          <w:shd w:val="clear" w:color="auto" w:fill="FFFFFF"/>
        </w:rPr>
      </w:pPr>
      <w:r>
        <w:rPr>
          <w:rStyle w:val="16"/>
          <w:rFonts w:hint="eastAsia" w:ascii="楷体_GB2312" w:hAnsi="楷体" w:eastAsia="楷体_GB2312" w:cs="楷体"/>
          <w:b w:val="0"/>
          <w:sz w:val="32"/>
          <w:szCs w:val="32"/>
          <w:shd w:val="clear" w:color="auto" w:fill="FFFFFF"/>
        </w:rPr>
        <w:t>（三）财政拨款支出决算具体情况</w:t>
      </w:r>
    </w:p>
    <w:p>
      <w:pPr>
        <w:spacing w:line="560" w:lineRule="exact"/>
        <w:ind w:firstLine="640" w:firstLineChars="200"/>
        <w:rPr>
          <w:rFonts w:ascii="仿宋_GB2312" w:eastAsia="仿宋_GB2312" w:cs="宋体"/>
        </w:rPr>
      </w:pPr>
      <w:r>
        <w:rPr>
          <w:rFonts w:hint="eastAsia" w:ascii="仿宋_GB2312" w:eastAsia="仿宋_GB2312" w:cs="宋体"/>
          <w:sz w:val="32"/>
          <w:szCs w:val="32"/>
        </w:rPr>
        <w:t>2020年度</w:t>
      </w:r>
      <w:r>
        <w:rPr>
          <w:rFonts w:hint="eastAsia" w:ascii="仿宋_GB2312" w:eastAsia="仿宋_GB2312" w:cs="宋体"/>
          <w:color w:val="000000" w:themeColor="text1"/>
          <w:sz w:val="32"/>
          <w:szCs w:val="32"/>
          <w14:textFill>
            <w14:solidFill>
              <w14:schemeClr w14:val="tx1"/>
            </w14:solidFill>
          </w14:textFill>
        </w:rPr>
        <w:t>财政拨款支出年初预算数</w:t>
      </w:r>
      <w:r>
        <w:rPr>
          <w:rFonts w:hint="eastAsia" w:ascii="仿宋_GB2312" w:eastAsia="仿宋_GB2312" w:cs="宋体"/>
          <w:sz w:val="32"/>
          <w:szCs w:val="32"/>
        </w:rPr>
        <w:t>为</w:t>
      </w:r>
      <w:r>
        <w:rPr>
          <w:rFonts w:hint="eastAsia" w:ascii="仿宋_GB2312" w:eastAsia="仿宋_GB2312" w:cs="宋体"/>
          <w:sz w:val="32"/>
          <w:szCs w:val="32"/>
          <w:lang w:val="en-US" w:eastAsia="zh-CN"/>
        </w:rPr>
        <w:t>1425.89</w:t>
      </w:r>
      <w:r>
        <w:rPr>
          <w:rFonts w:hint="eastAsia" w:ascii="仿宋_GB2312" w:eastAsia="仿宋_GB2312" w:cs="宋体"/>
          <w:sz w:val="32"/>
          <w:szCs w:val="32"/>
        </w:rPr>
        <w:t>万元，支出决算数为</w:t>
      </w:r>
      <w:r>
        <w:rPr>
          <w:rFonts w:hint="eastAsia" w:ascii="仿宋_GB2312" w:eastAsia="仿宋_GB2312"/>
          <w:sz w:val="32"/>
          <w:szCs w:val="32"/>
          <w:lang w:val="en-US" w:eastAsia="zh-CN"/>
        </w:rPr>
        <w:t>1405.7</w:t>
      </w:r>
      <w:r>
        <w:rPr>
          <w:rFonts w:hint="eastAsia" w:ascii="仿宋_GB2312" w:eastAsia="仿宋_GB2312" w:cs="宋体"/>
          <w:sz w:val="32"/>
          <w:szCs w:val="32"/>
        </w:rPr>
        <w:t>万元，完成年初预算的</w:t>
      </w:r>
      <w:r>
        <w:rPr>
          <w:rFonts w:hint="eastAsia" w:ascii="仿宋_GB2312" w:eastAsia="仿宋_GB2312" w:cs="宋体"/>
          <w:sz w:val="32"/>
          <w:szCs w:val="32"/>
          <w:lang w:val="en-US" w:eastAsia="zh-CN"/>
        </w:rPr>
        <w:t>98.58</w:t>
      </w:r>
      <w:r>
        <w:rPr>
          <w:rFonts w:hint="eastAsia" w:ascii="仿宋_GB2312" w:eastAsia="仿宋_GB2312" w:cs="宋体"/>
          <w:sz w:val="32"/>
          <w:szCs w:val="32"/>
        </w:rPr>
        <w:t>%，其中：</w:t>
      </w:r>
    </w:p>
    <w:p>
      <w:pPr>
        <w:pStyle w:val="13"/>
        <w:numPr>
          <w:ilvl w:val="0"/>
          <w:numId w:val="4"/>
        </w:numPr>
        <w:spacing w:before="0" w:beforeAutospacing="0" w:after="0" w:afterAutospacing="0" w:line="560" w:lineRule="exact"/>
        <w:ind w:firstLine="640" w:firstLineChars="200"/>
        <w:rPr>
          <w:rFonts w:hint="eastAsia" w:ascii="仿宋_GB2312" w:eastAsia="仿宋_GB2312" w:cs="宋体"/>
          <w:sz w:val="32"/>
          <w:szCs w:val="32"/>
        </w:rPr>
      </w:pPr>
      <w:r>
        <w:rPr>
          <w:rFonts w:hint="eastAsia" w:ascii="仿宋_GB2312" w:eastAsia="仿宋_GB2312" w:cs="宋体"/>
          <w:sz w:val="32"/>
          <w:szCs w:val="32"/>
        </w:rPr>
        <w:t>公共安全-检察-行政运行支出年初预算</w:t>
      </w:r>
      <w:r>
        <w:rPr>
          <w:rFonts w:hint="eastAsia" w:ascii="仿宋_GB2312" w:eastAsia="仿宋_GB2312" w:cs="宋体"/>
          <w:sz w:val="32"/>
          <w:szCs w:val="32"/>
          <w:lang w:val="en-US" w:eastAsia="zh-CN"/>
        </w:rPr>
        <w:t>1152.12</w:t>
      </w:r>
      <w:r>
        <w:rPr>
          <w:rFonts w:hint="eastAsia" w:ascii="仿宋_GB2312" w:eastAsia="仿宋_GB2312" w:cs="宋体"/>
          <w:sz w:val="32"/>
          <w:szCs w:val="32"/>
        </w:rPr>
        <w:t>万元，决算数</w:t>
      </w:r>
      <w:r>
        <w:rPr>
          <w:rFonts w:hint="eastAsia" w:ascii="仿宋_GB2312" w:eastAsia="仿宋_GB2312" w:cs="宋体"/>
          <w:sz w:val="32"/>
          <w:szCs w:val="32"/>
          <w:lang w:val="en-US" w:eastAsia="zh-CN"/>
        </w:rPr>
        <w:t>1115.07</w:t>
      </w:r>
      <w:r>
        <w:rPr>
          <w:rFonts w:hint="eastAsia" w:ascii="仿宋_GB2312" w:eastAsia="仿宋_GB2312" w:cs="宋体"/>
          <w:sz w:val="32"/>
          <w:szCs w:val="32"/>
        </w:rPr>
        <w:t>万元，完成年初预算的</w:t>
      </w:r>
      <w:r>
        <w:rPr>
          <w:rFonts w:hint="eastAsia" w:ascii="仿宋_GB2312" w:eastAsia="仿宋_GB2312" w:cs="宋体"/>
          <w:sz w:val="32"/>
          <w:szCs w:val="32"/>
          <w:lang w:val="en-US" w:eastAsia="zh-CN"/>
        </w:rPr>
        <w:t>96.78</w:t>
      </w:r>
      <w:r>
        <w:rPr>
          <w:rFonts w:hint="eastAsia" w:ascii="仿宋_GB2312" w:eastAsia="仿宋_GB2312" w:cs="宋体"/>
          <w:sz w:val="32"/>
          <w:szCs w:val="32"/>
        </w:rPr>
        <w:t>%。决算数</w:t>
      </w:r>
      <w:r>
        <w:rPr>
          <w:rFonts w:hint="eastAsia" w:ascii="仿宋_GB2312" w:eastAsia="仿宋_GB2312" w:cs="宋体"/>
          <w:sz w:val="32"/>
          <w:szCs w:val="32"/>
          <w:lang w:eastAsia="zh-CN"/>
        </w:rPr>
        <w:t>小</w:t>
      </w:r>
      <w:r>
        <w:rPr>
          <w:rFonts w:hint="eastAsia" w:ascii="仿宋_GB2312" w:eastAsia="仿宋_GB2312" w:cs="宋体"/>
          <w:sz w:val="32"/>
          <w:szCs w:val="32"/>
        </w:rPr>
        <w:t>于年初预算数的主要原因是：</w:t>
      </w:r>
      <w:r>
        <w:rPr>
          <w:rFonts w:hint="eastAsia" w:ascii="仿宋_GB2312" w:eastAsia="仿宋_GB2312" w:cs="宋体"/>
          <w:sz w:val="32"/>
          <w:szCs w:val="32"/>
          <w:lang w:eastAsia="zh-CN"/>
        </w:rPr>
        <w:t>由于支付进度和年终退付问题，导致少量款项没有支付到位。</w:t>
      </w:r>
    </w:p>
    <w:p>
      <w:pPr>
        <w:pStyle w:val="13"/>
        <w:numPr>
          <w:ilvl w:val="0"/>
          <w:numId w:val="0"/>
        </w:numPr>
        <w:spacing w:before="0" w:beforeAutospacing="0" w:after="0" w:afterAutospacing="0" w:line="560"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val="en-US" w:eastAsia="zh-CN"/>
        </w:rPr>
        <w:t>2、</w:t>
      </w:r>
      <w:r>
        <w:rPr>
          <w:rFonts w:hint="eastAsia" w:ascii="仿宋_GB2312" w:eastAsia="仿宋_GB2312" w:cs="宋体"/>
          <w:sz w:val="32"/>
          <w:szCs w:val="32"/>
        </w:rPr>
        <w:t>公共安全-检察-一般行政管理事务支出年初预算</w:t>
      </w:r>
      <w:r>
        <w:rPr>
          <w:rFonts w:hint="eastAsia" w:ascii="仿宋_GB2312" w:eastAsia="仿宋_GB2312" w:cs="宋体"/>
          <w:sz w:val="32"/>
          <w:szCs w:val="32"/>
          <w:lang w:val="en-US" w:eastAsia="zh-CN"/>
        </w:rPr>
        <w:t>39.98</w:t>
      </w:r>
      <w:r>
        <w:rPr>
          <w:rFonts w:hint="eastAsia" w:ascii="仿宋_GB2312" w:eastAsia="仿宋_GB2312" w:cs="宋体"/>
          <w:sz w:val="32"/>
          <w:szCs w:val="32"/>
        </w:rPr>
        <w:t>万元，决算数</w:t>
      </w:r>
      <w:r>
        <w:rPr>
          <w:rFonts w:hint="eastAsia" w:ascii="仿宋_GB2312" w:eastAsia="仿宋_GB2312" w:cs="宋体"/>
          <w:sz w:val="32"/>
          <w:szCs w:val="32"/>
          <w:lang w:val="en-US" w:eastAsia="zh-CN"/>
        </w:rPr>
        <w:t>54.86</w:t>
      </w:r>
      <w:r>
        <w:rPr>
          <w:rFonts w:hint="eastAsia" w:ascii="仿宋_GB2312" w:eastAsia="仿宋_GB2312" w:cs="宋体"/>
          <w:sz w:val="32"/>
          <w:szCs w:val="32"/>
        </w:rPr>
        <w:t>万元，完成年初预算</w:t>
      </w:r>
      <w:r>
        <w:rPr>
          <w:rFonts w:hint="eastAsia" w:ascii="仿宋_GB2312" w:eastAsia="仿宋_GB2312" w:cs="宋体"/>
          <w:sz w:val="32"/>
          <w:szCs w:val="32"/>
          <w:lang w:val="en-US" w:eastAsia="zh-CN"/>
        </w:rPr>
        <w:t>137.22</w:t>
      </w:r>
      <w:r>
        <w:rPr>
          <w:rFonts w:hint="eastAsia" w:ascii="仿宋_GB2312" w:eastAsia="仿宋_GB2312" w:cs="宋体"/>
          <w:sz w:val="32"/>
          <w:szCs w:val="32"/>
        </w:rPr>
        <w:t>%。决算数大于年初预算数的主要原因是：因办公办案工作需要年中追</w:t>
      </w:r>
      <w:r>
        <w:rPr>
          <w:rFonts w:hint="eastAsia" w:ascii="仿宋_GB2312" w:eastAsia="仿宋_GB2312" w:cs="宋体"/>
          <w:sz w:val="32"/>
          <w:szCs w:val="32"/>
          <w:lang w:eastAsia="zh-CN"/>
        </w:rPr>
        <w:t>加国家赔偿金和防疫经费。</w:t>
      </w:r>
    </w:p>
    <w:p>
      <w:pPr>
        <w:pStyle w:val="13"/>
        <w:spacing w:before="0" w:beforeAutospacing="0" w:after="0" w:afterAutospacing="0" w:line="560"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val="en-US" w:eastAsia="zh-CN"/>
        </w:rPr>
        <w:t>3、</w:t>
      </w:r>
      <w:r>
        <w:rPr>
          <w:rFonts w:hint="eastAsia" w:ascii="仿宋_GB2312" w:eastAsia="仿宋_GB2312" w:cs="宋体"/>
          <w:sz w:val="32"/>
          <w:szCs w:val="32"/>
        </w:rPr>
        <w:t>公共安全-检察-检察监督支出年初预算为</w:t>
      </w:r>
      <w:r>
        <w:rPr>
          <w:rFonts w:hint="eastAsia" w:ascii="仿宋_GB2312" w:eastAsia="仿宋_GB2312" w:cs="宋体"/>
          <w:sz w:val="32"/>
          <w:szCs w:val="32"/>
          <w:lang w:val="en-US" w:eastAsia="zh-CN"/>
        </w:rPr>
        <w:t>28.5万元</w:t>
      </w:r>
      <w:r>
        <w:rPr>
          <w:rFonts w:hint="eastAsia" w:ascii="仿宋_GB2312" w:eastAsia="仿宋_GB2312" w:cs="宋体"/>
          <w:sz w:val="32"/>
          <w:szCs w:val="32"/>
        </w:rPr>
        <w:t>，决算支出数</w:t>
      </w:r>
      <w:r>
        <w:rPr>
          <w:rFonts w:hint="eastAsia" w:ascii="仿宋_GB2312" w:eastAsia="仿宋_GB2312" w:cs="宋体"/>
          <w:sz w:val="32"/>
          <w:szCs w:val="32"/>
          <w:lang w:val="en-US" w:eastAsia="zh-CN"/>
        </w:rPr>
        <w:t>43.49</w:t>
      </w:r>
      <w:r>
        <w:rPr>
          <w:rFonts w:hint="eastAsia" w:ascii="仿宋_GB2312" w:eastAsia="仿宋_GB2312" w:cs="宋体"/>
          <w:sz w:val="32"/>
          <w:szCs w:val="32"/>
        </w:rPr>
        <w:t>元，完成年初预算的1</w:t>
      </w:r>
      <w:r>
        <w:rPr>
          <w:rFonts w:hint="eastAsia" w:ascii="仿宋_GB2312" w:eastAsia="仿宋_GB2312" w:cs="宋体"/>
          <w:sz w:val="32"/>
          <w:szCs w:val="32"/>
          <w:lang w:val="en-US" w:eastAsia="zh-CN"/>
        </w:rPr>
        <w:t>52.6</w:t>
      </w:r>
      <w:r>
        <w:rPr>
          <w:rFonts w:hint="eastAsia" w:ascii="仿宋_GB2312" w:eastAsia="仿宋_GB2312" w:cs="宋体"/>
          <w:sz w:val="32"/>
          <w:szCs w:val="32"/>
        </w:rPr>
        <w:t>%。决算数大于年初预算数的主要原因是因办公办案工作需要年中追</w:t>
      </w:r>
      <w:r>
        <w:rPr>
          <w:rFonts w:hint="eastAsia" w:ascii="仿宋_GB2312" w:eastAsia="仿宋_GB2312" w:cs="宋体"/>
          <w:sz w:val="32"/>
          <w:szCs w:val="32"/>
          <w:lang w:eastAsia="zh-CN"/>
        </w:rPr>
        <w:t>加扫黑除恶专项经费。</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lang w:val="en-US" w:eastAsia="zh-CN"/>
        </w:rPr>
        <w:t>4</w:t>
      </w:r>
      <w:r>
        <w:rPr>
          <w:rFonts w:hint="eastAsia" w:ascii="仿宋_GB2312" w:eastAsia="仿宋_GB2312" w:cs="宋体"/>
          <w:sz w:val="32"/>
          <w:szCs w:val="32"/>
        </w:rPr>
        <w:t>、社会保障和就业支出-行政事业单位养老支出-机关事业单位基本养老保险缴费支出年初预算</w:t>
      </w:r>
      <w:r>
        <w:rPr>
          <w:rFonts w:hint="eastAsia" w:ascii="仿宋_GB2312" w:eastAsia="仿宋_GB2312" w:cs="宋体"/>
          <w:sz w:val="32"/>
          <w:szCs w:val="32"/>
          <w:lang w:val="en-US" w:eastAsia="zh-CN"/>
        </w:rPr>
        <w:t>71.29</w:t>
      </w:r>
      <w:r>
        <w:rPr>
          <w:rFonts w:hint="eastAsia" w:ascii="仿宋_GB2312" w:eastAsia="仿宋_GB2312" w:cs="宋体"/>
          <w:sz w:val="32"/>
          <w:szCs w:val="32"/>
        </w:rPr>
        <w:t>万元，决算数</w:t>
      </w:r>
      <w:r>
        <w:rPr>
          <w:rFonts w:hint="eastAsia" w:ascii="仿宋_GB2312" w:eastAsia="仿宋_GB2312" w:cs="宋体"/>
          <w:sz w:val="32"/>
          <w:szCs w:val="32"/>
          <w:lang w:val="en-US" w:eastAsia="zh-CN"/>
        </w:rPr>
        <w:t>66.11</w:t>
      </w:r>
      <w:r>
        <w:rPr>
          <w:rFonts w:hint="eastAsia" w:ascii="仿宋_GB2312" w:eastAsia="仿宋_GB2312" w:cs="宋体"/>
          <w:sz w:val="32"/>
          <w:szCs w:val="32"/>
        </w:rPr>
        <w:t>万元，完成年初预算的</w:t>
      </w:r>
      <w:r>
        <w:rPr>
          <w:rFonts w:hint="eastAsia" w:ascii="仿宋_GB2312" w:eastAsia="仿宋_GB2312" w:cs="宋体"/>
          <w:sz w:val="32"/>
          <w:szCs w:val="32"/>
          <w:lang w:val="en-US" w:eastAsia="zh-CN"/>
        </w:rPr>
        <w:t>92.73</w:t>
      </w:r>
      <w:r>
        <w:rPr>
          <w:rFonts w:hint="eastAsia" w:ascii="仿宋_GB2312" w:eastAsia="仿宋_GB2312" w:cs="宋体"/>
          <w:sz w:val="32"/>
          <w:szCs w:val="32"/>
        </w:rPr>
        <w:t>%。决算数</w:t>
      </w:r>
      <w:r>
        <w:rPr>
          <w:rFonts w:hint="eastAsia" w:ascii="仿宋_GB2312" w:eastAsia="仿宋_GB2312" w:cs="宋体"/>
          <w:sz w:val="32"/>
          <w:szCs w:val="32"/>
          <w:lang w:eastAsia="zh-CN"/>
        </w:rPr>
        <w:t>小</w:t>
      </w:r>
      <w:r>
        <w:rPr>
          <w:rFonts w:hint="eastAsia" w:ascii="仿宋_GB2312" w:eastAsia="仿宋_GB2312" w:cs="宋体"/>
          <w:sz w:val="32"/>
          <w:szCs w:val="32"/>
        </w:rPr>
        <w:t>预算数的主要原因是</w:t>
      </w:r>
      <w:r>
        <w:rPr>
          <w:rFonts w:hint="eastAsia" w:ascii="仿宋_GB2312" w:eastAsia="仿宋_GB2312" w:cs="宋体"/>
          <w:sz w:val="32"/>
          <w:szCs w:val="32"/>
          <w:lang w:val="en-US" w:eastAsia="zh-CN"/>
        </w:rPr>
        <w:t>2020年</w:t>
      </w:r>
      <w:r>
        <w:rPr>
          <w:rFonts w:hint="eastAsia" w:ascii="仿宋_GB2312" w:eastAsia="仿宋_GB2312"/>
          <w:sz w:val="32"/>
          <w:lang w:eastAsia="zh-CN"/>
        </w:rPr>
        <w:t>养老保险单位缴费比例降低</w:t>
      </w:r>
      <w:r>
        <w:rPr>
          <w:rFonts w:hint="eastAsia" w:ascii="仿宋_GB2312" w:eastAsia="仿宋_GB2312"/>
          <w:sz w:val="32"/>
        </w:rPr>
        <w:t>。</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lang w:val="en-US" w:eastAsia="zh-CN"/>
        </w:rPr>
        <w:t>5</w:t>
      </w:r>
      <w:r>
        <w:rPr>
          <w:rFonts w:hint="eastAsia" w:ascii="仿宋_GB2312" w:eastAsia="仿宋_GB2312" w:cs="宋体"/>
          <w:sz w:val="32"/>
          <w:szCs w:val="32"/>
        </w:rPr>
        <w:t>、社会保障和就业支出-其他社会保障和就业支出-其他社会保障和就业支出年初预算</w:t>
      </w:r>
      <w:r>
        <w:rPr>
          <w:rFonts w:hint="eastAsia" w:ascii="仿宋_GB2312" w:eastAsia="仿宋_GB2312" w:cs="宋体"/>
          <w:sz w:val="32"/>
          <w:szCs w:val="32"/>
          <w:lang w:val="en-US" w:eastAsia="zh-CN"/>
        </w:rPr>
        <w:t>9.47</w:t>
      </w:r>
      <w:r>
        <w:rPr>
          <w:rFonts w:hint="eastAsia" w:ascii="仿宋_GB2312" w:eastAsia="仿宋_GB2312" w:cs="宋体"/>
          <w:sz w:val="32"/>
          <w:szCs w:val="32"/>
        </w:rPr>
        <w:t>万元，决算数</w:t>
      </w:r>
      <w:r>
        <w:rPr>
          <w:rFonts w:hint="eastAsia" w:ascii="仿宋_GB2312" w:eastAsia="仿宋_GB2312" w:cs="宋体"/>
          <w:sz w:val="32"/>
          <w:szCs w:val="32"/>
          <w:lang w:val="en-US" w:eastAsia="zh-CN"/>
        </w:rPr>
        <w:t>3.83</w:t>
      </w:r>
      <w:r>
        <w:rPr>
          <w:rFonts w:hint="eastAsia" w:ascii="仿宋_GB2312" w:eastAsia="仿宋_GB2312" w:cs="宋体"/>
          <w:sz w:val="32"/>
          <w:szCs w:val="32"/>
        </w:rPr>
        <w:t>万元，完成年初预算的</w:t>
      </w:r>
      <w:r>
        <w:rPr>
          <w:rFonts w:hint="eastAsia" w:ascii="仿宋_GB2312" w:eastAsia="仿宋_GB2312" w:cs="宋体"/>
          <w:sz w:val="32"/>
          <w:szCs w:val="32"/>
          <w:lang w:val="en-US" w:eastAsia="zh-CN"/>
        </w:rPr>
        <w:t>40.44</w:t>
      </w:r>
      <w:r>
        <w:rPr>
          <w:rFonts w:hint="eastAsia" w:ascii="仿宋_GB2312" w:eastAsia="仿宋_GB2312" w:cs="宋体"/>
          <w:sz w:val="32"/>
          <w:szCs w:val="32"/>
        </w:rPr>
        <w:t>%。决算数小于预算数的主要原因</w:t>
      </w:r>
      <w:r>
        <w:rPr>
          <w:rFonts w:hint="eastAsia" w:ascii="仿宋_GB2312" w:eastAsia="仿宋_GB2312" w:cs="宋体"/>
          <w:sz w:val="32"/>
          <w:szCs w:val="32"/>
          <w:lang w:eastAsia="zh-CN"/>
        </w:rPr>
        <w:t>是工伤保险的基数和单位缴费比例降低</w:t>
      </w:r>
      <w:r>
        <w:rPr>
          <w:rFonts w:hint="eastAsia" w:ascii="仿宋_GB2312" w:eastAsia="仿宋_GB2312" w:cs="宋体"/>
          <w:sz w:val="32"/>
          <w:szCs w:val="32"/>
        </w:rPr>
        <w:t>。</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lang w:val="en-US" w:eastAsia="zh-CN"/>
        </w:rPr>
        <w:t>6</w:t>
      </w:r>
      <w:r>
        <w:rPr>
          <w:rFonts w:hint="eastAsia" w:ascii="仿宋_GB2312" w:eastAsia="仿宋_GB2312" w:cs="宋体"/>
          <w:sz w:val="32"/>
          <w:szCs w:val="32"/>
        </w:rPr>
        <w:t>、卫生健康支出-行政事业单位医疗-行政单位医疗支出年初预算</w:t>
      </w:r>
      <w:r>
        <w:rPr>
          <w:rFonts w:hint="eastAsia" w:ascii="仿宋_GB2312" w:eastAsia="仿宋_GB2312" w:cs="宋体"/>
          <w:sz w:val="32"/>
          <w:szCs w:val="32"/>
          <w:lang w:val="en-US" w:eastAsia="zh-CN"/>
        </w:rPr>
        <w:t>38.62</w:t>
      </w:r>
      <w:r>
        <w:rPr>
          <w:rFonts w:hint="eastAsia" w:ascii="仿宋_GB2312" w:eastAsia="仿宋_GB2312" w:cs="宋体"/>
          <w:sz w:val="32"/>
          <w:szCs w:val="32"/>
        </w:rPr>
        <w:t>万元，决算数</w:t>
      </w:r>
      <w:r>
        <w:rPr>
          <w:rFonts w:hint="eastAsia" w:ascii="仿宋_GB2312" w:eastAsia="仿宋_GB2312" w:cs="宋体"/>
          <w:sz w:val="32"/>
          <w:szCs w:val="32"/>
          <w:lang w:val="en-US" w:eastAsia="zh-CN"/>
        </w:rPr>
        <w:t>36.43</w:t>
      </w:r>
      <w:r>
        <w:rPr>
          <w:rFonts w:hint="eastAsia" w:ascii="仿宋_GB2312" w:eastAsia="仿宋_GB2312" w:cs="宋体"/>
          <w:sz w:val="32"/>
          <w:szCs w:val="32"/>
        </w:rPr>
        <w:t>万元，完成年初预算的</w:t>
      </w:r>
      <w:r>
        <w:rPr>
          <w:rFonts w:hint="eastAsia" w:ascii="仿宋_GB2312" w:eastAsia="仿宋_GB2312" w:cs="宋体"/>
          <w:sz w:val="32"/>
          <w:szCs w:val="32"/>
          <w:lang w:val="en-US" w:eastAsia="zh-CN"/>
        </w:rPr>
        <w:t>94.33</w:t>
      </w:r>
      <w:r>
        <w:rPr>
          <w:rFonts w:hint="eastAsia" w:ascii="仿宋_GB2312" w:eastAsia="仿宋_GB2312" w:cs="宋体"/>
          <w:sz w:val="32"/>
          <w:szCs w:val="32"/>
        </w:rPr>
        <w:t>%。决算数小于预算数的主要原因是正常人员增</w:t>
      </w:r>
      <w:r>
        <w:rPr>
          <w:rFonts w:hint="eastAsia" w:ascii="仿宋_GB2312" w:eastAsia="仿宋_GB2312" w:cs="宋体"/>
          <w:sz w:val="32"/>
          <w:szCs w:val="32"/>
          <w:lang w:eastAsia="zh-CN"/>
        </w:rPr>
        <w:t>减和基数变化</w:t>
      </w:r>
      <w:r>
        <w:rPr>
          <w:rFonts w:hint="eastAsia" w:ascii="仿宋_GB2312" w:eastAsia="仿宋_GB2312" w:cs="宋体"/>
          <w:sz w:val="32"/>
          <w:szCs w:val="32"/>
        </w:rPr>
        <w:t>导致医疗支出减少。</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lang w:val="en-US" w:eastAsia="zh-CN"/>
        </w:rPr>
        <w:t>7</w:t>
      </w:r>
      <w:r>
        <w:rPr>
          <w:rFonts w:hint="eastAsia" w:ascii="仿宋_GB2312" w:eastAsia="仿宋_GB2312" w:cs="宋体"/>
          <w:sz w:val="32"/>
          <w:szCs w:val="32"/>
        </w:rPr>
        <w:t>、住房保障支出-住房改革支出-住房公积金支出年初预算</w:t>
      </w:r>
      <w:r>
        <w:rPr>
          <w:rFonts w:hint="eastAsia" w:ascii="仿宋_GB2312" w:eastAsia="仿宋_GB2312" w:cs="宋体"/>
          <w:sz w:val="32"/>
          <w:szCs w:val="32"/>
          <w:lang w:val="en-US" w:eastAsia="zh-CN"/>
        </w:rPr>
        <w:t>85.91</w:t>
      </w:r>
      <w:r>
        <w:rPr>
          <w:rFonts w:hint="eastAsia" w:ascii="仿宋_GB2312" w:eastAsia="仿宋_GB2312" w:cs="宋体"/>
          <w:sz w:val="32"/>
          <w:szCs w:val="32"/>
        </w:rPr>
        <w:t>万元，决算数</w:t>
      </w:r>
      <w:r>
        <w:rPr>
          <w:rFonts w:hint="eastAsia" w:ascii="仿宋_GB2312" w:eastAsia="仿宋_GB2312" w:cs="宋体"/>
          <w:sz w:val="32"/>
          <w:szCs w:val="32"/>
          <w:lang w:val="en-US" w:eastAsia="zh-CN"/>
        </w:rPr>
        <w:t>85.91</w:t>
      </w:r>
      <w:r>
        <w:rPr>
          <w:rFonts w:hint="eastAsia" w:ascii="仿宋_GB2312" w:eastAsia="仿宋_GB2312" w:cs="宋体"/>
          <w:sz w:val="32"/>
          <w:szCs w:val="32"/>
        </w:rPr>
        <w:t>万元，完成年初预算的100.</w:t>
      </w:r>
      <w:r>
        <w:rPr>
          <w:rFonts w:hint="eastAsia" w:ascii="仿宋_GB2312" w:eastAsia="仿宋_GB2312" w:cs="宋体"/>
          <w:sz w:val="32"/>
          <w:szCs w:val="32"/>
          <w:lang w:val="en-US" w:eastAsia="zh-CN"/>
        </w:rPr>
        <w:t>00</w:t>
      </w:r>
      <w:r>
        <w:rPr>
          <w:rFonts w:hint="eastAsia" w:ascii="仿宋_GB2312" w:eastAsia="仿宋_GB2312" w:cs="宋体"/>
          <w:sz w:val="32"/>
          <w:szCs w:val="32"/>
        </w:rPr>
        <w:t>%。</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bookmarkStart w:id="24" w:name="_Toc3790"/>
      <w:bookmarkStart w:id="25" w:name="_Toc2717"/>
      <w:r>
        <w:rPr>
          <w:rStyle w:val="16"/>
          <w:rFonts w:hint="eastAsia" w:ascii="楷体_GB2312" w:hAnsi="楷体" w:eastAsia="楷体_GB2312" w:cs="楷体"/>
          <w:b w:val="0"/>
          <w:sz w:val="32"/>
          <w:szCs w:val="32"/>
          <w:shd w:val="clear" w:color="auto" w:fill="FFFFFF"/>
        </w:rPr>
        <w:t>六、一般公共预算财政拨款基本支出决算情况说明</w:t>
      </w:r>
      <w:bookmarkEnd w:id="24"/>
      <w:bookmarkEnd w:id="25"/>
    </w:p>
    <w:p>
      <w:pPr>
        <w:pStyle w:val="13"/>
        <w:spacing w:before="0" w:beforeAutospacing="0" w:after="0" w:afterAutospacing="0" w:line="560"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rPr>
        <w:t>2020年度财政拨款基本支出</w:t>
      </w:r>
      <w:r>
        <w:rPr>
          <w:rFonts w:hint="eastAsia" w:ascii="仿宋_GB2312" w:eastAsia="仿宋_GB2312" w:cs="宋体"/>
          <w:sz w:val="32"/>
          <w:szCs w:val="32"/>
          <w:lang w:val="en-US" w:eastAsia="zh-CN"/>
        </w:rPr>
        <w:t>1350.84</w:t>
      </w:r>
      <w:r>
        <w:rPr>
          <w:rFonts w:hint="eastAsia" w:ascii="仿宋_GB2312" w:eastAsia="仿宋_GB2312" w:cs="宋体"/>
          <w:sz w:val="32"/>
          <w:szCs w:val="32"/>
        </w:rPr>
        <w:t>万元，其中：人员经费</w:t>
      </w:r>
      <w:r>
        <w:rPr>
          <w:rFonts w:hint="eastAsia" w:ascii="仿宋_GB2312" w:eastAsia="仿宋_GB2312" w:cs="宋体"/>
          <w:sz w:val="32"/>
          <w:szCs w:val="32"/>
          <w:lang w:val="en-US" w:eastAsia="zh-CN"/>
        </w:rPr>
        <w:t>883.84</w:t>
      </w:r>
      <w:r>
        <w:rPr>
          <w:rFonts w:hint="eastAsia" w:ascii="仿宋_GB2312" w:eastAsia="仿宋_GB2312" w:cs="宋体"/>
          <w:sz w:val="32"/>
          <w:szCs w:val="32"/>
        </w:rPr>
        <w:t>万元，占基本支出的</w:t>
      </w:r>
      <w:r>
        <w:rPr>
          <w:rFonts w:hint="eastAsia" w:ascii="仿宋_GB2312" w:eastAsia="仿宋_GB2312" w:cs="宋体"/>
          <w:sz w:val="32"/>
          <w:szCs w:val="32"/>
          <w:lang w:val="en-US" w:eastAsia="zh-CN"/>
        </w:rPr>
        <w:t>65.43</w:t>
      </w:r>
      <w:r>
        <w:rPr>
          <w:rFonts w:hint="eastAsia" w:ascii="仿宋_GB2312" w:eastAsia="仿宋_GB2312" w:cs="宋体"/>
          <w:sz w:val="32"/>
          <w:szCs w:val="32"/>
        </w:rPr>
        <w:t>%,主要包括</w:t>
      </w:r>
      <w:r>
        <w:rPr>
          <w:rFonts w:hint="eastAsia" w:ascii="仿宋_GB2312" w:eastAsia="仿宋_GB2312"/>
          <w:sz w:val="32"/>
        </w:rPr>
        <w:t>基本工资、津贴补贴、奖金、机关事业单位基本养老保险缴费、职工基本医疗保险缴费、其他社会保障缴费、住房公积金、其他工资福利支出、生活补助、奖励金</w:t>
      </w:r>
      <w:r>
        <w:rPr>
          <w:rFonts w:hint="eastAsia" w:ascii="仿宋_GB2312" w:eastAsia="仿宋_GB2312"/>
          <w:sz w:val="32"/>
          <w:lang w:eastAsia="zh-CN"/>
        </w:rPr>
        <w:t>、</w:t>
      </w:r>
      <w:r>
        <w:rPr>
          <w:rFonts w:hint="eastAsia" w:ascii="仿宋_GB2312" w:eastAsia="仿宋_GB2312"/>
          <w:sz w:val="32"/>
        </w:rPr>
        <w:t>其他对个人和家庭的补助支</w:t>
      </w:r>
      <w:r>
        <w:rPr>
          <w:rFonts w:hint="eastAsia" w:ascii="仿宋_GB2312" w:eastAsia="仿宋_GB2312" w:cs="宋体"/>
          <w:sz w:val="32"/>
          <w:szCs w:val="32"/>
        </w:rPr>
        <w:t>；公用经费</w:t>
      </w:r>
      <w:r>
        <w:rPr>
          <w:rFonts w:hint="eastAsia" w:ascii="仿宋_GB2312" w:eastAsia="仿宋_GB2312" w:cs="宋体"/>
          <w:sz w:val="32"/>
          <w:szCs w:val="32"/>
          <w:lang w:val="en-US" w:eastAsia="zh-CN"/>
        </w:rPr>
        <w:t>467</w:t>
      </w:r>
      <w:r>
        <w:rPr>
          <w:rFonts w:hint="eastAsia" w:ascii="仿宋_GB2312" w:eastAsia="仿宋_GB2312" w:cs="宋体"/>
          <w:sz w:val="32"/>
          <w:szCs w:val="32"/>
        </w:rPr>
        <w:t>万元，占基本支出的</w:t>
      </w:r>
      <w:r>
        <w:rPr>
          <w:rFonts w:hint="eastAsia" w:ascii="仿宋_GB2312" w:eastAsia="仿宋_GB2312" w:cs="宋体"/>
          <w:sz w:val="32"/>
          <w:szCs w:val="32"/>
          <w:lang w:val="en-US" w:eastAsia="zh-CN"/>
        </w:rPr>
        <w:t>34.57</w:t>
      </w:r>
      <w:r>
        <w:rPr>
          <w:rFonts w:hint="eastAsia" w:ascii="仿宋_GB2312" w:eastAsia="仿宋_GB2312" w:cs="宋体"/>
          <w:sz w:val="32"/>
          <w:szCs w:val="32"/>
        </w:rPr>
        <w:t>%，主要包括</w:t>
      </w:r>
      <w:r>
        <w:rPr>
          <w:rFonts w:hint="eastAsia" w:ascii="仿宋_GB2312" w:eastAsia="仿宋_GB2312"/>
          <w:sz w:val="32"/>
        </w:rPr>
        <w:t>办公费、印刷费、水费、电费、邮电费、物业管理费、差旅费、维修（护）费、</w:t>
      </w:r>
      <w:r>
        <w:rPr>
          <w:rFonts w:hint="eastAsia" w:ascii="仿宋_GB2312" w:eastAsia="仿宋_GB2312"/>
          <w:sz w:val="32"/>
          <w:lang w:eastAsia="zh-CN"/>
        </w:rPr>
        <w:t>培训费、</w:t>
      </w:r>
      <w:r>
        <w:rPr>
          <w:rFonts w:hint="eastAsia" w:ascii="仿宋_GB2312" w:eastAsia="仿宋_GB2312"/>
          <w:sz w:val="32"/>
        </w:rPr>
        <w:t>公务接待费、劳务费、工会经费、福利费、公务用车运行维护费、其他交通费用、其他商品和服务支出</w:t>
      </w:r>
      <w:r>
        <w:rPr>
          <w:rFonts w:hint="eastAsia" w:ascii="仿宋_GB2312" w:eastAsia="仿宋_GB2312"/>
          <w:sz w:val="32"/>
          <w:lang w:eastAsia="zh-CN"/>
        </w:rPr>
        <w:t>。</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bookmarkStart w:id="26" w:name="_Toc18644"/>
      <w:bookmarkStart w:id="27" w:name="_Toc428"/>
      <w:r>
        <w:rPr>
          <w:rStyle w:val="16"/>
          <w:rFonts w:hint="eastAsia" w:ascii="楷体_GB2312" w:hAnsi="楷体" w:eastAsia="楷体_GB2312" w:cs="楷体"/>
          <w:b w:val="0"/>
          <w:sz w:val="32"/>
          <w:szCs w:val="32"/>
          <w:shd w:val="clear" w:color="auto" w:fill="FFFFFF"/>
        </w:rPr>
        <w:t>七、一般公共预算财政拨款三公经费支出决算情况说明</w:t>
      </w:r>
      <w:bookmarkEnd w:id="26"/>
      <w:bookmarkEnd w:id="27"/>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（一）“三公”经费财政拨款支出决算总体情况说明</w:t>
      </w:r>
    </w:p>
    <w:p>
      <w:pPr>
        <w:pStyle w:val="13"/>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ascii="仿宋_GB2312" w:eastAsia="仿宋_GB2312"/>
          <w:sz w:val="32"/>
        </w:rPr>
      </w:pPr>
      <w:r>
        <w:rPr>
          <w:rFonts w:hint="eastAsia" w:ascii="仿宋_GB2312" w:eastAsia="仿宋_GB2312"/>
          <w:sz w:val="32"/>
        </w:rPr>
        <w:t>“三公”经费财政拨款支出预算为</w:t>
      </w:r>
      <w:r>
        <w:rPr>
          <w:rFonts w:hint="eastAsia" w:ascii="仿宋_GB2312" w:eastAsia="仿宋_GB2312"/>
          <w:sz w:val="32"/>
          <w:lang w:val="en-US" w:eastAsia="zh-CN"/>
        </w:rPr>
        <w:t>47.5</w:t>
      </w:r>
      <w:r>
        <w:rPr>
          <w:rFonts w:hint="eastAsia" w:ascii="仿宋_GB2312" w:eastAsia="仿宋_GB2312"/>
          <w:sz w:val="32"/>
        </w:rPr>
        <w:t>万元，支出决算为</w:t>
      </w:r>
      <w:r>
        <w:rPr>
          <w:rFonts w:hint="eastAsia" w:ascii="仿宋_GB2312" w:eastAsia="仿宋_GB2312"/>
          <w:sz w:val="32"/>
          <w:lang w:val="en-US" w:eastAsia="zh-CN"/>
        </w:rPr>
        <w:t>39.53</w:t>
      </w:r>
      <w:r>
        <w:rPr>
          <w:rFonts w:hint="eastAsia" w:ascii="仿宋_GB2312" w:eastAsia="仿宋_GB2312"/>
          <w:sz w:val="32"/>
        </w:rPr>
        <w:t>万元，完成预算的</w:t>
      </w:r>
      <w:r>
        <w:rPr>
          <w:rFonts w:hint="eastAsia" w:ascii="仿宋_GB2312" w:eastAsia="仿宋_GB2312"/>
          <w:sz w:val="32"/>
          <w:lang w:val="en-US" w:eastAsia="zh-CN"/>
        </w:rPr>
        <w:t>83.22</w:t>
      </w:r>
      <w:r>
        <w:rPr>
          <w:rFonts w:hint="eastAsia" w:ascii="仿宋_GB2312" w:eastAsia="仿宋_GB2312"/>
          <w:sz w:val="32"/>
        </w:rPr>
        <w:t>%，其中：</w:t>
      </w:r>
    </w:p>
    <w:p>
      <w:pPr>
        <w:pStyle w:val="13"/>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eastAsiaTheme="minorEastAsia"/>
          <w:sz w:val="32"/>
          <w:lang w:eastAsia="zh-CN"/>
        </w:rPr>
      </w:pPr>
      <w:r>
        <w:rPr>
          <w:rFonts w:hint="eastAsia" w:ascii="仿宋_GB2312" w:eastAsia="仿宋_GB2312"/>
          <w:sz w:val="32"/>
        </w:rPr>
        <w:t>因公出国（境）费支出预算为</w:t>
      </w:r>
      <w:r>
        <w:rPr>
          <w:rFonts w:hint="eastAsia" w:ascii="仿宋_GB2312" w:eastAsia="仿宋_GB2312"/>
          <w:sz w:val="32"/>
          <w:lang w:val="en-US" w:eastAsia="zh-CN"/>
        </w:rPr>
        <w:t>0</w:t>
      </w:r>
      <w:r>
        <w:rPr>
          <w:rFonts w:hint="eastAsia" w:ascii="仿宋_GB2312" w:eastAsia="仿宋_GB2312"/>
          <w:sz w:val="32"/>
        </w:rPr>
        <w:t>万元，支出决算为0万元</w:t>
      </w:r>
      <w:r>
        <w:rPr>
          <w:rFonts w:hint="eastAsia" w:ascii="仿宋_GB2312" w:eastAsia="仿宋_GB2312"/>
          <w:sz w:val="32"/>
          <w:lang w:eastAsia="zh-CN"/>
        </w:rPr>
        <w:t>，</w:t>
      </w:r>
      <w:r>
        <w:rPr>
          <w:rFonts w:hint="eastAsia" w:ascii="仿宋_GB2312" w:hAnsi="宋体" w:eastAsia="仿宋_GB2312" w:cs="Times New Roman"/>
          <w:sz w:val="32"/>
        </w:rPr>
        <w:t>决算数</w:t>
      </w:r>
      <w:r>
        <w:rPr>
          <w:rFonts w:hint="eastAsia" w:ascii="仿宋_GB2312" w:hAnsi="宋体" w:eastAsia="仿宋_GB2312" w:cs="Times New Roman"/>
          <w:sz w:val="32"/>
          <w:lang w:eastAsia="zh-CN"/>
        </w:rPr>
        <w:t>等于</w:t>
      </w:r>
      <w:r>
        <w:rPr>
          <w:rFonts w:hint="eastAsia" w:ascii="仿宋_GB2312" w:hAnsi="宋体" w:eastAsia="仿宋_GB2312" w:cs="Times New Roman"/>
          <w:sz w:val="32"/>
        </w:rPr>
        <w:t>预算数</w:t>
      </w:r>
      <w:r>
        <w:rPr>
          <w:rFonts w:hint="eastAsia" w:ascii="仿宋_GB2312" w:hAnsi="宋体" w:eastAsia="仿宋_GB2312" w:cs="Times New Roman"/>
          <w:sz w:val="32"/>
          <w:lang w:eastAsia="zh-CN"/>
        </w:rPr>
        <w:t>。</w:t>
      </w:r>
    </w:p>
    <w:p>
      <w:pPr>
        <w:pStyle w:val="13"/>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ascii="仿宋_GB2312" w:eastAsia="仿宋_GB2312"/>
          <w:sz w:val="32"/>
        </w:rPr>
      </w:pPr>
      <w:r>
        <w:rPr>
          <w:rFonts w:hint="eastAsia" w:ascii="仿宋_GB2312" w:eastAsia="仿宋_GB2312"/>
          <w:sz w:val="32"/>
        </w:rPr>
        <w:t>公务接待费支出预算为</w:t>
      </w:r>
      <w:r>
        <w:rPr>
          <w:rFonts w:hint="eastAsia" w:ascii="仿宋_GB2312" w:eastAsia="仿宋_GB2312"/>
          <w:sz w:val="32"/>
          <w:lang w:val="en-US" w:eastAsia="zh-CN"/>
        </w:rPr>
        <w:t>7</w:t>
      </w:r>
      <w:r>
        <w:rPr>
          <w:rFonts w:hint="eastAsia" w:ascii="仿宋_GB2312" w:eastAsia="仿宋_GB2312"/>
          <w:sz w:val="32"/>
        </w:rPr>
        <w:t>万元，支出决算为</w:t>
      </w:r>
      <w:r>
        <w:rPr>
          <w:rFonts w:hint="eastAsia" w:ascii="仿宋_GB2312" w:eastAsia="仿宋_GB2312"/>
          <w:sz w:val="32"/>
          <w:lang w:val="en-US" w:eastAsia="zh-CN"/>
        </w:rPr>
        <w:t>5.19</w:t>
      </w:r>
      <w:r>
        <w:rPr>
          <w:rFonts w:hint="eastAsia" w:ascii="仿宋_GB2312" w:eastAsia="仿宋_GB2312"/>
          <w:sz w:val="32"/>
        </w:rPr>
        <w:t>万元，完成预算的</w:t>
      </w:r>
      <w:r>
        <w:rPr>
          <w:rFonts w:hint="eastAsia" w:ascii="仿宋_GB2312" w:eastAsia="仿宋_GB2312"/>
          <w:sz w:val="32"/>
          <w:lang w:val="en-US" w:eastAsia="zh-CN"/>
        </w:rPr>
        <w:t>74.14</w:t>
      </w:r>
      <w:r>
        <w:rPr>
          <w:rFonts w:hint="eastAsia" w:ascii="仿宋_GB2312" w:eastAsia="仿宋_GB2312"/>
          <w:sz w:val="32"/>
        </w:rPr>
        <w:t>%，决算数小于年初预算数的主要原因是进一步从严控制公务接待经费开支，全年实际支出比预算节约幅度较大，与上年相比</w:t>
      </w:r>
      <w:r>
        <w:rPr>
          <w:rFonts w:hint="eastAsia" w:ascii="仿宋_GB2312" w:eastAsia="仿宋_GB2312"/>
          <w:sz w:val="32"/>
          <w:lang w:eastAsia="zh-CN"/>
        </w:rPr>
        <w:t>减少</w:t>
      </w:r>
      <w:r>
        <w:rPr>
          <w:rFonts w:hint="eastAsia" w:ascii="仿宋_GB2312" w:eastAsia="仿宋_GB2312"/>
          <w:sz w:val="32"/>
          <w:lang w:val="en-US" w:eastAsia="zh-CN"/>
        </w:rPr>
        <w:t>0.44</w:t>
      </w:r>
      <w:r>
        <w:rPr>
          <w:rFonts w:hint="eastAsia" w:ascii="仿宋_GB2312" w:eastAsia="仿宋_GB2312"/>
          <w:sz w:val="32"/>
        </w:rPr>
        <w:t>万元，</w:t>
      </w:r>
      <w:r>
        <w:rPr>
          <w:rFonts w:hint="eastAsia" w:ascii="仿宋_GB2312" w:eastAsia="仿宋_GB2312"/>
          <w:sz w:val="32"/>
          <w:lang w:eastAsia="zh-CN"/>
        </w:rPr>
        <w:t>降低</w:t>
      </w:r>
      <w:r>
        <w:rPr>
          <w:rFonts w:hint="eastAsia" w:ascii="仿宋_GB2312" w:eastAsia="仿宋_GB2312"/>
          <w:sz w:val="32"/>
          <w:lang w:val="en-US" w:eastAsia="zh-CN"/>
        </w:rPr>
        <w:t>7.82</w:t>
      </w:r>
      <w:r>
        <w:rPr>
          <w:rFonts w:hint="eastAsia" w:ascii="仿宋_GB2312" w:eastAsia="仿宋_GB2312"/>
          <w:sz w:val="32"/>
        </w:rPr>
        <w:t>%,</w:t>
      </w:r>
      <w:r>
        <w:rPr>
          <w:rFonts w:hint="eastAsia" w:ascii="仿宋_GB2312" w:eastAsia="仿宋_GB2312"/>
          <w:sz w:val="32"/>
          <w:lang w:eastAsia="zh-CN"/>
        </w:rPr>
        <w:t>减少</w:t>
      </w:r>
      <w:r>
        <w:rPr>
          <w:rFonts w:hint="eastAsia" w:ascii="仿宋_GB2312" w:eastAsia="仿宋_GB2312"/>
          <w:sz w:val="32"/>
        </w:rPr>
        <w:t>的主要原因是</w:t>
      </w:r>
      <w:r>
        <w:rPr>
          <w:rFonts w:hint="eastAsia" w:ascii="仿宋_GB2312" w:eastAsia="仿宋_GB2312"/>
          <w:sz w:val="32"/>
          <w:lang w:eastAsia="zh-CN"/>
        </w:rPr>
        <w:t>疫情影响公务接待减少</w:t>
      </w:r>
      <w:r>
        <w:rPr>
          <w:rFonts w:hint="eastAsia" w:ascii="仿宋_GB2312" w:eastAsia="仿宋_GB2312"/>
          <w:sz w:val="32"/>
        </w:rPr>
        <w:t>。</w:t>
      </w:r>
    </w:p>
    <w:p>
      <w:pPr>
        <w:pStyle w:val="30"/>
        <w:keepNext w:val="0"/>
        <w:keepLines w:val="0"/>
        <w:pageBreakBefore w:val="0"/>
        <w:kinsoku/>
        <w:wordWrap/>
        <w:overflowPunct/>
        <w:topLinePunct w:val="0"/>
        <w:bidi w:val="0"/>
        <w:snapToGrid/>
        <w:ind w:firstLine="640" w:firstLineChars="200"/>
        <w:jc w:val="both"/>
        <w:textAlignment w:val="auto"/>
        <w:rPr>
          <w:rFonts w:hint="default" w:ascii="仿宋_GB2312" w:hAnsi="宋体" w:eastAsia="仿宋_GB2312" w:cs="Times New Roman"/>
          <w:color w:val="auto"/>
          <w:sz w:val="32"/>
          <w:szCs w:val="24"/>
          <w:lang w:val="en-US" w:eastAsia="zh-CN" w:bidi="ar-SA"/>
        </w:rPr>
      </w:pPr>
      <w:r>
        <w:rPr>
          <w:rFonts w:hint="eastAsia" w:ascii="仿宋_GB2312" w:hAnsi="宋体" w:eastAsia="仿宋_GB2312" w:cs="Times New Roman"/>
          <w:color w:val="auto"/>
          <w:sz w:val="32"/>
          <w:szCs w:val="24"/>
          <w:lang w:val="en-US" w:eastAsia="zh-CN" w:bidi="ar-SA"/>
        </w:rPr>
        <w:t>公务用车购置费支出预算为18万元，支出决算为15.33万元，完成预算的85.17%，决算数小于年初预算数的主要原因是本年度新增公务用车为全省统一定点采购，价格优惠。与上年相比增15.33万元，增加的主要原因是本年度新购置公务用车1台。</w:t>
      </w:r>
    </w:p>
    <w:p>
      <w:pPr>
        <w:pStyle w:val="13"/>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eastAsia="仿宋_GB2312"/>
          <w:sz w:val="32"/>
          <w:lang w:eastAsia="zh-CN"/>
        </w:rPr>
      </w:pPr>
      <w:r>
        <w:rPr>
          <w:rFonts w:hint="eastAsia" w:ascii="仿宋_GB2312" w:hAnsi="宋体" w:eastAsia="仿宋_GB2312" w:cs="Times New Roman"/>
          <w:color w:val="auto"/>
          <w:sz w:val="32"/>
          <w:szCs w:val="24"/>
          <w:lang w:val="en-US" w:eastAsia="zh-CN" w:bidi="ar-SA"/>
        </w:rPr>
        <w:t>公务用车运行维护费支出预算为22.5万元，支出决算为19万元，完成预算的84.44%，决算数小于年初预算数的主要原因是进一步从严控制公</w:t>
      </w:r>
      <w:r>
        <w:rPr>
          <w:rFonts w:hint="eastAsia" w:ascii="仿宋_GB2312" w:eastAsia="仿宋_GB2312"/>
          <w:sz w:val="32"/>
        </w:rPr>
        <w:t>务用车购置费及运行维护费开支，与上年相比</w:t>
      </w:r>
      <w:r>
        <w:rPr>
          <w:rFonts w:hint="eastAsia" w:ascii="仿宋_GB2312" w:eastAsia="仿宋_GB2312"/>
          <w:sz w:val="32"/>
          <w:lang w:eastAsia="zh-CN"/>
        </w:rPr>
        <w:t>减少</w:t>
      </w:r>
      <w:r>
        <w:rPr>
          <w:rFonts w:hint="eastAsia" w:ascii="仿宋_GB2312" w:eastAsia="仿宋_GB2312"/>
          <w:sz w:val="32"/>
          <w:lang w:val="en-US" w:eastAsia="zh-CN"/>
        </w:rPr>
        <w:t>11.73</w:t>
      </w:r>
      <w:r>
        <w:rPr>
          <w:rFonts w:hint="eastAsia" w:ascii="仿宋_GB2312" w:eastAsia="仿宋_GB2312"/>
          <w:sz w:val="32"/>
        </w:rPr>
        <w:t>万元，</w:t>
      </w:r>
      <w:r>
        <w:rPr>
          <w:rFonts w:hint="eastAsia" w:ascii="仿宋_GB2312" w:eastAsia="仿宋_GB2312"/>
          <w:sz w:val="32"/>
          <w:lang w:eastAsia="zh-CN"/>
        </w:rPr>
        <w:t>减少</w:t>
      </w:r>
      <w:r>
        <w:rPr>
          <w:rFonts w:hint="eastAsia" w:ascii="仿宋_GB2312" w:eastAsia="仿宋_GB2312"/>
          <w:sz w:val="32"/>
          <w:lang w:val="en-US" w:eastAsia="zh-CN"/>
        </w:rPr>
        <w:t>38.17</w:t>
      </w:r>
      <w:r>
        <w:rPr>
          <w:rFonts w:hint="eastAsia" w:ascii="仿宋_GB2312" w:eastAsia="仿宋_GB2312"/>
          <w:sz w:val="32"/>
        </w:rPr>
        <w:t>%,</w:t>
      </w:r>
      <w:r>
        <w:rPr>
          <w:rFonts w:hint="eastAsia" w:ascii="仿宋_GB2312" w:eastAsia="仿宋_GB2312"/>
          <w:sz w:val="32"/>
          <w:lang w:eastAsia="zh-CN"/>
        </w:rPr>
        <w:t>减少</w:t>
      </w:r>
      <w:r>
        <w:rPr>
          <w:rFonts w:hint="eastAsia" w:ascii="仿宋_GB2312" w:eastAsia="仿宋_GB2312"/>
          <w:sz w:val="32"/>
        </w:rPr>
        <w:t>的主要原因是</w:t>
      </w:r>
      <w:r>
        <w:rPr>
          <w:rFonts w:hint="eastAsia" w:ascii="仿宋_GB2312" w:eastAsia="仿宋_GB2312"/>
          <w:sz w:val="32"/>
          <w:lang w:eastAsia="zh-CN"/>
        </w:rPr>
        <w:t>本年度新增公务用车压缩了</w:t>
      </w:r>
      <w:r>
        <w:rPr>
          <w:rFonts w:hint="eastAsia" w:ascii="仿宋_GB2312" w:hAnsi="宋体" w:eastAsia="仿宋_GB2312" w:cs="Times New Roman"/>
          <w:color w:val="auto"/>
          <w:sz w:val="32"/>
          <w:szCs w:val="24"/>
          <w:lang w:val="en-US" w:eastAsia="zh-CN" w:bidi="ar-SA"/>
        </w:rPr>
        <w:t>公务用车运行维护费</w:t>
      </w:r>
      <w:r>
        <w:rPr>
          <w:rFonts w:hint="eastAsia" w:ascii="仿宋_GB2312" w:eastAsia="仿宋_GB2312" w:cs="Times New Roman"/>
          <w:color w:val="auto"/>
          <w:sz w:val="32"/>
          <w:szCs w:val="24"/>
          <w:lang w:val="en-US" w:eastAsia="zh-CN" w:bidi="ar-SA"/>
        </w:rPr>
        <w:t>。</w:t>
      </w:r>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（二）“三公”经费财政拨款支出决算具体情况说明</w:t>
      </w:r>
    </w:p>
    <w:p>
      <w:pPr>
        <w:pStyle w:val="13"/>
        <w:spacing w:before="0" w:beforeAutospacing="0" w:after="0" w:afterAutospacing="0" w:line="560" w:lineRule="exact"/>
        <w:ind w:firstLine="640" w:firstLineChars="200"/>
        <w:rPr>
          <w:rFonts w:hint="eastAsia" w:ascii="仿宋_GB2312" w:eastAsia="仿宋_GB2312"/>
          <w:sz w:val="32"/>
        </w:rPr>
      </w:pPr>
      <w:r>
        <w:rPr>
          <w:rFonts w:hint="eastAsia" w:ascii="仿宋_GB2312" w:eastAsia="仿宋_GB2312"/>
          <w:sz w:val="32"/>
        </w:rPr>
        <w:t>2020年度“三公”经费财政拨款支出决算中，公务接待费支出决算</w:t>
      </w:r>
      <w:r>
        <w:rPr>
          <w:rFonts w:hint="eastAsia" w:ascii="仿宋_GB2312" w:eastAsia="仿宋_GB2312"/>
          <w:sz w:val="32"/>
          <w:lang w:val="en-US" w:eastAsia="zh-CN"/>
        </w:rPr>
        <w:t>5.19</w:t>
      </w:r>
      <w:r>
        <w:rPr>
          <w:rFonts w:hint="eastAsia" w:ascii="仿宋_GB2312" w:eastAsia="仿宋_GB2312"/>
          <w:sz w:val="32"/>
        </w:rPr>
        <w:t>万元，占</w:t>
      </w:r>
      <w:r>
        <w:rPr>
          <w:rFonts w:hint="eastAsia" w:ascii="仿宋_GB2312" w:eastAsia="仿宋_GB2312"/>
          <w:sz w:val="32"/>
          <w:lang w:val="en-US" w:eastAsia="zh-CN"/>
        </w:rPr>
        <w:t>13.13</w:t>
      </w:r>
      <w:r>
        <w:rPr>
          <w:rFonts w:hint="eastAsia" w:ascii="仿宋_GB2312" w:eastAsia="仿宋_GB2312"/>
          <w:sz w:val="32"/>
        </w:rPr>
        <w:t>%,因公出国（境）费支出决算0万元，占</w:t>
      </w:r>
      <w:r>
        <w:rPr>
          <w:rFonts w:hint="eastAsia" w:ascii="仿宋_GB2312" w:eastAsia="仿宋_GB2312"/>
          <w:sz w:val="32"/>
          <w:lang w:val="en-US" w:eastAsia="zh-CN"/>
        </w:rPr>
        <w:t>0%，</w:t>
      </w:r>
      <w:r>
        <w:rPr>
          <w:rFonts w:hint="eastAsia" w:ascii="仿宋_GB2312" w:eastAsia="仿宋_GB2312"/>
          <w:sz w:val="32"/>
        </w:rPr>
        <w:t>公务用车购置费及运行维护费支出决算</w:t>
      </w:r>
      <w:r>
        <w:rPr>
          <w:rFonts w:hint="eastAsia" w:ascii="仿宋_GB2312" w:eastAsia="仿宋_GB2312"/>
          <w:sz w:val="32"/>
          <w:lang w:val="en-US" w:eastAsia="zh-CN"/>
        </w:rPr>
        <w:t>34.34</w:t>
      </w:r>
      <w:r>
        <w:rPr>
          <w:rFonts w:hint="eastAsia" w:ascii="仿宋_GB2312" w:eastAsia="仿宋_GB2312"/>
          <w:sz w:val="32"/>
        </w:rPr>
        <w:t>万元，占</w:t>
      </w:r>
      <w:r>
        <w:rPr>
          <w:rFonts w:hint="eastAsia" w:ascii="仿宋_GB2312" w:eastAsia="仿宋_GB2312"/>
          <w:sz w:val="32"/>
          <w:lang w:val="en-US" w:eastAsia="zh-CN"/>
        </w:rPr>
        <w:t>86.87</w:t>
      </w:r>
      <w:r>
        <w:rPr>
          <w:rFonts w:hint="eastAsia" w:ascii="仿宋_GB2312" w:eastAsia="仿宋_GB2312"/>
          <w:sz w:val="32"/>
        </w:rPr>
        <w:t>%。其中：</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1、因公出国（境）费支出决算为0万元。</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2、公务接待费支出决算为</w:t>
      </w:r>
      <w:r>
        <w:rPr>
          <w:rFonts w:hint="eastAsia" w:ascii="仿宋_GB2312" w:eastAsia="仿宋_GB2312"/>
          <w:sz w:val="32"/>
          <w:lang w:val="en-US" w:eastAsia="zh-CN"/>
        </w:rPr>
        <w:t>5.19</w:t>
      </w:r>
      <w:r>
        <w:rPr>
          <w:rFonts w:hint="eastAsia" w:ascii="仿宋_GB2312" w:eastAsia="仿宋_GB2312"/>
          <w:sz w:val="32"/>
        </w:rPr>
        <w:t>万元，全年共接待来访团组</w:t>
      </w:r>
      <w:r>
        <w:rPr>
          <w:rFonts w:hint="eastAsia" w:ascii="仿宋_GB2312" w:eastAsia="仿宋_GB2312"/>
          <w:sz w:val="32"/>
          <w:lang w:val="en-US" w:eastAsia="zh-CN"/>
        </w:rPr>
        <w:t>54</w:t>
      </w:r>
      <w:r>
        <w:rPr>
          <w:rFonts w:hint="eastAsia" w:ascii="仿宋_GB2312" w:eastAsia="仿宋_GB2312"/>
          <w:sz w:val="32"/>
        </w:rPr>
        <w:t>个、来宾</w:t>
      </w:r>
      <w:r>
        <w:rPr>
          <w:rFonts w:hint="eastAsia" w:ascii="仿宋_GB2312" w:eastAsia="仿宋_GB2312"/>
          <w:sz w:val="32"/>
          <w:lang w:val="en-US" w:eastAsia="zh-CN"/>
        </w:rPr>
        <w:t>434</w:t>
      </w:r>
      <w:r>
        <w:rPr>
          <w:rFonts w:hint="eastAsia" w:ascii="仿宋_GB2312" w:eastAsia="仿宋_GB2312"/>
          <w:sz w:val="32"/>
        </w:rPr>
        <w:t>人次，主要是接待全</w:t>
      </w:r>
      <w:r>
        <w:rPr>
          <w:rFonts w:hint="eastAsia" w:ascii="仿宋_GB2312" w:eastAsia="仿宋_GB2312"/>
          <w:sz w:val="32"/>
          <w:lang w:eastAsia="zh-CN"/>
        </w:rPr>
        <w:t>省</w:t>
      </w:r>
      <w:r>
        <w:rPr>
          <w:rFonts w:hint="eastAsia" w:ascii="仿宋_GB2312" w:eastAsia="仿宋_GB2312"/>
          <w:sz w:val="32"/>
        </w:rPr>
        <w:t>各地检察机关和相关部门交流工作和协办案件等。</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3、公务用车购置费及运行维护费支出决算为</w:t>
      </w:r>
      <w:r>
        <w:rPr>
          <w:rFonts w:hint="eastAsia" w:ascii="仿宋_GB2312" w:eastAsia="仿宋_GB2312"/>
          <w:sz w:val="32"/>
          <w:lang w:val="en-US" w:eastAsia="zh-CN"/>
        </w:rPr>
        <w:t>34.34</w:t>
      </w:r>
      <w:r>
        <w:rPr>
          <w:rFonts w:hint="eastAsia" w:ascii="仿宋_GB2312" w:eastAsia="仿宋_GB2312"/>
          <w:sz w:val="32"/>
        </w:rPr>
        <w:t>万元，其中：公务用车购置费</w:t>
      </w:r>
      <w:r>
        <w:rPr>
          <w:rFonts w:hint="eastAsia" w:ascii="仿宋_GB2312" w:eastAsia="仿宋_GB2312"/>
          <w:sz w:val="32"/>
          <w:lang w:val="en-US" w:eastAsia="zh-CN"/>
        </w:rPr>
        <w:t>15.33</w:t>
      </w:r>
      <w:r>
        <w:rPr>
          <w:rFonts w:hint="eastAsia" w:ascii="仿宋_GB2312" w:eastAsia="仿宋_GB2312"/>
          <w:sz w:val="32"/>
        </w:rPr>
        <w:t>万元，</w:t>
      </w:r>
      <w:r>
        <w:rPr>
          <w:rFonts w:hint="eastAsia" w:ascii="仿宋_GB2312" w:eastAsia="仿宋_GB2312"/>
          <w:sz w:val="32"/>
          <w:lang w:eastAsia="zh-CN"/>
        </w:rPr>
        <w:t>新购置公务用车</w:t>
      </w:r>
      <w:r>
        <w:rPr>
          <w:rFonts w:hint="eastAsia" w:ascii="仿宋_GB2312" w:eastAsia="仿宋_GB2312"/>
          <w:sz w:val="32"/>
          <w:lang w:val="en-US" w:eastAsia="zh-CN"/>
        </w:rPr>
        <w:t>1</w:t>
      </w:r>
      <w:r>
        <w:rPr>
          <w:rFonts w:hint="eastAsia" w:ascii="仿宋_GB2312" w:eastAsia="仿宋_GB2312"/>
          <w:sz w:val="32"/>
        </w:rPr>
        <w:t>辆。公务用车运行维护费</w:t>
      </w:r>
      <w:r>
        <w:rPr>
          <w:rFonts w:hint="eastAsia" w:ascii="仿宋_GB2312" w:eastAsia="仿宋_GB2312"/>
          <w:sz w:val="32"/>
          <w:lang w:val="en-US" w:eastAsia="zh-CN"/>
        </w:rPr>
        <w:t>19.01</w:t>
      </w:r>
      <w:r>
        <w:rPr>
          <w:rFonts w:hint="eastAsia" w:ascii="仿宋_GB2312" w:eastAsia="仿宋_GB2312"/>
          <w:sz w:val="32"/>
        </w:rPr>
        <w:t>万元，主要是用于执法执勤车辆的燃料费、维修费、过路过桥费、年审费和保险费等支出，截止2020年12月31日，</w:t>
      </w:r>
      <w:r>
        <w:rPr>
          <w:rFonts w:hint="eastAsia" w:ascii="仿宋_GB2312" w:eastAsia="仿宋_GB2312"/>
          <w:sz w:val="32"/>
          <w:lang w:eastAsia="zh-CN"/>
        </w:rPr>
        <w:t>我院</w:t>
      </w:r>
      <w:r>
        <w:rPr>
          <w:rFonts w:hint="eastAsia" w:ascii="仿宋_GB2312" w:eastAsia="仿宋_GB2312"/>
          <w:sz w:val="32"/>
        </w:rPr>
        <w:t>公务用车保有量为</w:t>
      </w:r>
      <w:r>
        <w:rPr>
          <w:rFonts w:hint="eastAsia" w:ascii="仿宋_GB2312" w:eastAsia="仿宋_GB2312"/>
          <w:sz w:val="32"/>
          <w:lang w:val="en-US" w:eastAsia="zh-CN"/>
        </w:rPr>
        <w:t>6</w:t>
      </w:r>
      <w:r>
        <w:rPr>
          <w:rFonts w:hint="eastAsia" w:ascii="仿宋_GB2312" w:eastAsia="仿宋_GB2312"/>
          <w:sz w:val="32"/>
        </w:rPr>
        <w:t>辆。</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bookmarkStart w:id="28" w:name="_Toc5526"/>
      <w:bookmarkStart w:id="29" w:name="_Toc25792"/>
      <w:r>
        <w:rPr>
          <w:rStyle w:val="16"/>
          <w:rFonts w:hint="eastAsia" w:ascii="楷体_GB2312" w:hAnsi="楷体" w:eastAsia="楷体_GB2312" w:cs="楷体"/>
          <w:b w:val="0"/>
          <w:sz w:val="32"/>
          <w:szCs w:val="32"/>
          <w:shd w:val="clear" w:color="auto" w:fill="FFFFFF"/>
        </w:rPr>
        <w:t>八、政府性基金预算收入支出决算情况</w:t>
      </w:r>
      <w:bookmarkEnd w:id="28"/>
      <w:bookmarkEnd w:id="29"/>
    </w:p>
    <w:p>
      <w:pPr>
        <w:pStyle w:val="13"/>
        <w:spacing w:before="0" w:beforeAutospacing="0" w:after="0" w:afterAutospacing="0" w:line="560" w:lineRule="exact"/>
        <w:ind w:firstLine="640" w:firstLineChars="200"/>
        <w:rPr>
          <w:rFonts w:eastAsia="仿宋_GB2312"/>
          <w:sz w:val="32"/>
        </w:rPr>
      </w:pPr>
      <w:r>
        <w:rPr>
          <w:rFonts w:eastAsia="仿宋_GB2312"/>
          <w:sz w:val="32"/>
        </w:rPr>
        <w:t>20</w:t>
      </w:r>
      <w:r>
        <w:rPr>
          <w:rFonts w:hint="eastAsia" w:eastAsia="仿宋_GB2312"/>
          <w:sz w:val="32"/>
        </w:rPr>
        <w:t>20</w:t>
      </w:r>
      <w:r>
        <w:rPr>
          <w:rFonts w:eastAsia="仿宋_GB2312"/>
          <w:sz w:val="32"/>
        </w:rPr>
        <w:t>年度本单位无政府性基金收支</w:t>
      </w:r>
      <w:r>
        <w:rPr>
          <w:rFonts w:hint="eastAsia" w:eastAsia="仿宋_GB2312"/>
          <w:sz w:val="32"/>
        </w:rPr>
        <w:t>。</w:t>
      </w:r>
    </w:p>
    <w:p>
      <w:pPr>
        <w:pStyle w:val="13"/>
        <w:numPr>
          <w:ilvl w:val="0"/>
          <w:numId w:val="5"/>
        </w:numPr>
        <w:spacing w:before="0" w:beforeAutospacing="0" w:after="0" w:afterAutospacing="0" w:line="560" w:lineRule="exact"/>
        <w:ind w:firstLine="640" w:firstLineChars="200"/>
        <w:rPr>
          <w:rStyle w:val="16"/>
          <w:rFonts w:hint="eastAsia" w:ascii="楷体_GB2312" w:hAnsi="楷体" w:eastAsia="楷体_GB2312" w:cs="楷体"/>
          <w:b w:val="0"/>
          <w:sz w:val="32"/>
          <w:szCs w:val="32"/>
          <w:shd w:val="clear" w:color="auto" w:fill="FFFFFF"/>
        </w:rPr>
      </w:pPr>
      <w:bookmarkStart w:id="30" w:name="_Toc5899"/>
      <w:bookmarkStart w:id="31" w:name="_Toc7846"/>
      <w:r>
        <w:rPr>
          <w:rStyle w:val="16"/>
          <w:rFonts w:hint="eastAsia" w:ascii="楷体_GB2312" w:hAnsi="楷体" w:eastAsia="楷体_GB2312" w:cs="楷体"/>
          <w:b w:val="0"/>
          <w:sz w:val="32"/>
          <w:szCs w:val="32"/>
          <w:shd w:val="clear" w:color="auto" w:fill="FFFFFF"/>
        </w:rPr>
        <w:t>关于机关运行经费支出说明</w:t>
      </w:r>
    </w:p>
    <w:p>
      <w:pPr>
        <w:pStyle w:val="13"/>
        <w:numPr>
          <w:ilvl w:val="0"/>
          <w:numId w:val="0"/>
        </w:numPr>
        <w:spacing w:before="0" w:beforeAutospacing="0" w:after="0" w:afterAutospacing="0" w:line="560" w:lineRule="exact"/>
        <w:ind w:firstLine="640" w:firstLineChars="200"/>
        <w:rPr>
          <w:rFonts w:hint="eastAsia" w:ascii="仿宋_GB2312" w:eastAsia="仿宋_GB2312"/>
          <w:sz w:val="32"/>
          <w:lang w:val="en-US" w:eastAsia="zh-CN"/>
        </w:rPr>
      </w:pPr>
      <w:r>
        <w:rPr>
          <w:rFonts w:hint="eastAsia" w:ascii="仿宋_GB2312" w:eastAsia="仿宋_GB2312"/>
          <w:sz w:val="32"/>
        </w:rPr>
        <w:t>本部门2020年度机关运行经费支出</w:t>
      </w:r>
      <w:r>
        <w:rPr>
          <w:rFonts w:hint="eastAsia" w:ascii="仿宋_GB2312" w:eastAsia="仿宋_GB2312"/>
          <w:sz w:val="32"/>
          <w:lang w:val="en-US" w:eastAsia="zh-CN"/>
        </w:rPr>
        <w:t>467</w:t>
      </w:r>
      <w:r>
        <w:rPr>
          <w:rFonts w:hint="eastAsia" w:ascii="仿宋_GB2312" w:eastAsia="仿宋_GB2312"/>
          <w:sz w:val="32"/>
        </w:rPr>
        <w:t>万元，比2019年减少</w:t>
      </w:r>
      <w:r>
        <w:rPr>
          <w:rFonts w:hint="eastAsia" w:ascii="仿宋_GB2312" w:eastAsia="仿宋_GB2312"/>
          <w:sz w:val="32"/>
          <w:lang w:val="en-US" w:eastAsia="zh-CN"/>
        </w:rPr>
        <w:t>80.5</w:t>
      </w:r>
      <w:r>
        <w:rPr>
          <w:rFonts w:hint="eastAsia" w:ascii="仿宋_GB2312" w:eastAsia="仿宋_GB2312"/>
          <w:sz w:val="32"/>
        </w:rPr>
        <w:t>万元，降低</w:t>
      </w:r>
      <w:r>
        <w:rPr>
          <w:rFonts w:hint="eastAsia" w:ascii="仿宋_GB2312" w:eastAsia="仿宋_GB2312"/>
          <w:sz w:val="32"/>
          <w:lang w:val="en-US" w:eastAsia="zh-CN"/>
        </w:rPr>
        <w:t>14.7</w:t>
      </w:r>
      <w:r>
        <w:rPr>
          <w:rFonts w:hint="eastAsia" w:ascii="仿宋_GB2312" w:eastAsia="仿宋_GB2312"/>
          <w:sz w:val="32"/>
        </w:rPr>
        <w:t>%。主要原因是：</w:t>
      </w:r>
      <w:r>
        <w:rPr>
          <w:rFonts w:hint="eastAsia" w:ascii="仿宋_GB2312" w:eastAsia="仿宋_GB2312" w:cs="宋体"/>
          <w:sz w:val="32"/>
          <w:szCs w:val="32"/>
        </w:rPr>
        <w:t>为落实中央和省委省政府过“紧”日子的政策要求，压减一般性支出</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2019年度文化建设完工，水电改造，防水改造完毕，所有费用支付完成，2020年度没有发生这类大项开支。</w:t>
      </w:r>
    </w:p>
    <w:p>
      <w:pPr>
        <w:pStyle w:val="13"/>
        <w:numPr>
          <w:ilvl w:val="0"/>
          <w:numId w:val="5"/>
        </w:numPr>
        <w:spacing w:before="0" w:beforeAutospacing="0" w:after="0" w:afterAutospacing="0" w:line="560" w:lineRule="exact"/>
        <w:ind w:left="0" w:leftChars="0" w:firstLine="640" w:firstLineChars="200"/>
        <w:rPr>
          <w:rStyle w:val="16"/>
          <w:rFonts w:hint="eastAsia"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一般性支出情况</w:t>
      </w:r>
    </w:p>
    <w:p>
      <w:pPr>
        <w:pStyle w:val="13"/>
        <w:numPr>
          <w:ilvl w:val="0"/>
          <w:numId w:val="0"/>
        </w:numPr>
        <w:spacing w:before="0" w:beforeAutospacing="0" w:after="0" w:afterAutospacing="0" w:line="560" w:lineRule="exact"/>
        <w:ind w:firstLine="640" w:firstLineChars="200"/>
        <w:rPr>
          <w:rFonts w:hint="eastAsia" w:ascii="仿宋_GB2312" w:hAnsi="宋体" w:eastAsia="仿宋_GB2312" w:cs="Times New Roman"/>
          <w:sz w:val="32"/>
          <w:lang w:val="en-US" w:eastAsia="zh-CN"/>
        </w:rPr>
      </w:pPr>
      <w:r>
        <w:rPr>
          <w:rFonts w:hint="eastAsia" w:ascii="仿宋_GB2312" w:eastAsia="仿宋_GB2312" w:cs="Times New Roman"/>
          <w:sz w:val="32"/>
          <w:lang w:val="en-US" w:eastAsia="zh-CN"/>
        </w:rPr>
        <w:t>2020年度本部门开支会议费0万元；开支培训费3.79万元，用于参加上级部门组织的业务培训，人数6人，内容为参加案管</w:t>
      </w:r>
      <w:r>
        <w:rPr>
          <w:rFonts w:hint="eastAsia" w:ascii="仿宋_GB2312" w:eastAsia="仿宋_GB2312"/>
          <w:sz w:val="32"/>
          <w:lang w:eastAsia="zh-CN"/>
        </w:rPr>
        <w:t>业务培训</w:t>
      </w:r>
      <w:r>
        <w:rPr>
          <w:rFonts w:hint="eastAsia" w:ascii="仿宋_GB2312" w:eastAsia="仿宋_GB2312"/>
          <w:sz w:val="32"/>
          <w:lang w:val="en-US" w:eastAsia="zh-CN"/>
        </w:rPr>
        <w:t>1人</w:t>
      </w:r>
      <w:r>
        <w:rPr>
          <w:rFonts w:hint="eastAsia" w:ascii="仿宋_GB2312" w:eastAsia="仿宋_GB2312"/>
          <w:sz w:val="32"/>
          <w:lang w:eastAsia="zh-CN"/>
        </w:rPr>
        <w:t>、无人机驾驶培训</w:t>
      </w:r>
      <w:r>
        <w:rPr>
          <w:rFonts w:hint="eastAsia" w:ascii="仿宋_GB2312" w:eastAsia="仿宋_GB2312"/>
          <w:sz w:val="32"/>
          <w:lang w:val="en-US" w:eastAsia="zh-CN"/>
        </w:rPr>
        <w:t>1人</w:t>
      </w:r>
      <w:r>
        <w:rPr>
          <w:rFonts w:hint="eastAsia" w:ascii="仿宋_GB2312" w:eastAsia="仿宋_GB2312"/>
          <w:sz w:val="32"/>
          <w:lang w:eastAsia="zh-CN"/>
        </w:rPr>
        <w:t>、领导素能培训</w:t>
      </w:r>
      <w:r>
        <w:rPr>
          <w:rFonts w:hint="eastAsia" w:ascii="仿宋_GB2312" w:eastAsia="仿宋_GB2312"/>
          <w:sz w:val="32"/>
          <w:lang w:val="en-US" w:eastAsia="zh-CN"/>
        </w:rPr>
        <w:t>1人</w:t>
      </w:r>
      <w:r>
        <w:rPr>
          <w:rFonts w:hint="eastAsia" w:ascii="仿宋_GB2312" w:eastAsia="仿宋_GB2312"/>
          <w:sz w:val="32"/>
          <w:lang w:eastAsia="zh-CN"/>
        </w:rPr>
        <w:t>、指导性案例专题培训</w:t>
      </w:r>
      <w:r>
        <w:rPr>
          <w:rFonts w:hint="eastAsia" w:ascii="仿宋_GB2312" w:eastAsia="仿宋_GB2312"/>
          <w:sz w:val="32"/>
          <w:lang w:val="en-US" w:eastAsia="zh-CN"/>
        </w:rPr>
        <w:t>1人</w:t>
      </w:r>
      <w:r>
        <w:rPr>
          <w:rFonts w:hint="eastAsia" w:ascii="仿宋_GB2312" w:eastAsia="仿宋_GB2312"/>
          <w:sz w:val="32"/>
          <w:lang w:eastAsia="zh-CN"/>
        </w:rPr>
        <w:t>、侦查业务培训</w:t>
      </w:r>
      <w:r>
        <w:rPr>
          <w:rFonts w:hint="eastAsia" w:ascii="仿宋_GB2312" w:eastAsia="仿宋_GB2312"/>
          <w:sz w:val="32"/>
          <w:lang w:val="en-US" w:eastAsia="zh-CN"/>
        </w:rPr>
        <w:t>1人</w:t>
      </w:r>
      <w:r>
        <w:rPr>
          <w:rFonts w:hint="eastAsia" w:ascii="仿宋_GB2312" w:eastAsia="仿宋_GB2312"/>
          <w:sz w:val="32"/>
          <w:lang w:eastAsia="zh-CN"/>
        </w:rPr>
        <w:t>、公益诉讼业务培训开支</w:t>
      </w:r>
      <w:r>
        <w:rPr>
          <w:rFonts w:hint="eastAsia" w:ascii="仿宋_GB2312" w:eastAsia="仿宋_GB2312"/>
          <w:sz w:val="32"/>
          <w:lang w:val="en-US" w:eastAsia="zh-CN"/>
        </w:rPr>
        <w:t>1人</w:t>
      </w:r>
      <w:r>
        <w:rPr>
          <w:rFonts w:hint="eastAsia" w:ascii="仿宋_GB2312" w:eastAsia="仿宋_GB2312"/>
          <w:sz w:val="32"/>
          <w:lang w:eastAsia="zh-CN"/>
        </w:rPr>
        <w:t>；</w:t>
      </w:r>
      <w:r>
        <w:rPr>
          <w:rFonts w:hint="eastAsia" w:ascii="仿宋_GB2312" w:hAnsi="宋体" w:eastAsia="仿宋_GB2312"/>
          <w:sz w:val="32"/>
          <w:lang w:eastAsia="zh-CN"/>
        </w:rPr>
        <w:t>举</w:t>
      </w:r>
      <w:r>
        <w:rPr>
          <w:rFonts w:hint="eastAsia" w:ascii="仿宋_GB2312" w:hAnsi="宋体" w:eastAsia="仿宋_GB2312"/>
          <w:sz w:val="32"/>
          <w:lang w:val="en-US" w:eastAsia="zh-CN"/>
        </w:rPr>
        <w:t>办</w:t>
      </w:r>
      <w:r>
        <w:rPr>
          <w:rFonts w:hint="eastAsia" w:ascii="仿宋_GB2312" w:hAnsi="宋体" w:eastAsia="仿宋_GB2312" w:cs="Times New Roman"/>
          <w:sz w:val="32"/>
          <w:lang w:val="en-US" w:eastAsia="zh-CN"/>
        </w:rPr>
        <w:t>节庆、晚会、论坛、赛事活动，开支0万元。</w:t>
      </w:r>
    </w:p>
    <w:p>
      <w:pPr>
        <w:pStyle w:val="13"/>
        <w:spacing w:before="0" w:beforeAutospacing="0" w:after="0" w:afterAutospacing="0" w:line="560" w:lineRule="exact"/>
        <w:ind w:firstLine="640" w:firstLineChars="200"/>
        <w:rPr>
          <w:rStyle w:val="16"/>
          <w:rFonts w:ascii="楷体_GB2312" w:hAnsi="楷体" w:eastAsia="楷体_GB2312" w:cs="楷体"/>
          <w:b w:val="0"/>
          <w:color w:val="FF0000"/>
          <w:shd w:val="clear" w:color="auto" w:fill="FFFFFF"/>
        </w:rPr>
      </w:pPr>
      <w:r>
        <w:rPr>
          <w:rStyle w:val="16"/>
          <w:rFonts w:hint="eastAsia" w:ascii="楷体_GB2312" w:hAnsi="楷体" w:eastAsia="楷体_GB2312" w:cs="楷体"/>
          <w:b w:val="0"/>
          <w:sz w:val="32"/>
          <w:szCs w:val="32"/>
          <w:shd w:val="clear" w:color="auto" w:fill="FFFFFF"/>
        </w:rPr>
        <w:t>十一、关于政府采购支出说明</w:t>
      </w:r>
    </w:p>
    <w:p>
      <w:pPr>
        <w:pStyle w:val="13"/>
        <w:spacing w:before="0" w:beforeAutospacing="0" w:after="0" w:afterAutospacing="0" w:line="560" w:lineRule="exact"/>
        <w:ind w:firstLine="640" w:firstLineChars="200"/>
        <w:rPr>
          <w:rFonts w:hint="eastAsia" w:ascii="仿宋_GB2312" w:eastAsia="仿宋_GB2312"/>
          <w:sz w:val="32"/>
        </w:rPr>
      </w:pPr>
      <w:r>
        <w:rPr>
          <w:rFonts w:hint="eastAsia" w:ascii="仿宋_GB2312" w:eastAsia="仿宋_GB2312"/>
          <w:sz w:val="32"/>
        </w:rPr>
        <w:t>本部门2020年度政府采购支出总额</w:t>
      </w:r>
      <w:r>
        <w:rPr>
          <w:rFonts w:hint="eastAsia" w:ascii="仿宋_GB2312" w:eastAsia="仿宋_GB2312"/>
          <w:sz w:val="32"/>
          <w:lang w:val="en-US" w:eastAsia="zh-CN"/>
        </w:rPr>
        <w:t>57.62</w:t>
      </w:r>
      <w:r>
        <w:rPr>
          <w:rFonts w:hint="eastAsia" w:ascii="仿宋_GB2312" w:eastAsia="仿宋_GB2312"/>
          <w:sz w:val="32"/>
        </w:rPr>
        <w:t>万元，其中：</w:t>
      </w:r>
      <w:r>
        <w:rPr>
          <w:rFonts w:hint="eastAsia" w:ascii="仿宋_GB2312" w:hAnsi="宋体" w:eastAsia="仿宋_GB2312" w:cs="Times New Roman"/>
          <w:sz w:val="32"/>
        </w:rPr>
        <w:t>政府采购货物支出</w:t>
      </w:r>
      <w:r>
        <w:rPr>
          <w:rFonts w:hint="eastAsia" w:ascii="仿宋_GB2312" w:hAnsi="宋体" w:eastAsia="仿宋_GB2312" w:cs="Times New Roman"/>
          <w:sz w:val="32"/>
          <w:lang w:val="en-US" w:eastAsia="zh-CN"/>
        </w:rPr>
        <w:t>33.73</w:t>
      </w:r>
      <w:r>
        <w:rPr>
          <w:rFonts w:hint="eastAsia" w:ascii="仿宋_GB2312" w:hAnsi="宋体" w:eastAsia="仿宋_GB2312" w:cs="Times New Roman"/>
          <w:sz w:val="32"/>
        </w:rPr>
        <w:t>万元、政府采购工程支出</w:t>
      </w:r>
      <w:r>
        <w:rPr>
          <w:rFonts w:hint="eastAsia" w:ascii="仿宋_GB2312" w:hAnsi="宋体" w:eastAsia="仿宋_GB2312" w:cs="Times New Roman"/>
          <w:sz w:val="32"/>
          <w:lang w:val="en-US" w:eastAsia="zh-CN"/>
        </w:rPr>
        <w:t>0</w:t>
      </w:r>
      <w:r>
        <w:rPr>
          <w:rFonts w:hint="eastAsia" w:ascii="仿宋_GB2312" w:hAnsi="宋体" w:eastAsia="仿宋_GB2312" w:cs="Times New Roman"/>
          <w:sz w:val="32"/>
        </w:rPr>
        <w:t>万元</w:t>
      </w:r>
      <w:r>
        <w:rPr>
          <w:rFonts w:hint="eastAsia" w:ascii="仿宋_GB2312" w:hAnsi="宋体" w:eastAsia="仿宋_GB2312" w:cs="Times New Roman"/>
          <w:sz w:val="32"/>
          <w:lang w:eastAsia="zh-CN"/>
        </w:rPr>
        <w:t>，</w:t>
      </w:r>
      <w:r>
        <w:rPr>
          <w:rFonts w:hint="eastAsia" w:ascii="仿宋_GB2312" w:hAnsi="宋体" w:eastAsia="仿宋_GB2312" w:cs="Times New Roman"/>
          <w:sz w:val="32"/>
        </w:rPr>
        <w:t>政府采购服务支出</w:t>
      </w:r>
      <w:r>
        <w:rPr>
          <w:rFonts w:hint="eastAsia" w:ascii="仿宋_GB2312" w:hAnsi="宋体" w:eastAsia="仿宋_GB2312" w:cs="Times New Roman"/>
          <w:sz w:val="32"/>
          <w:lang w:val="en-US" w:eastAsia="zh-CN"/>
        </w:rPr>
        <w:t>23.89</w:t>
      </w:r>
      <w:r>
        <w:rPr>
          <w:rFonts w:hint="eastAsia" w:ascii="仿宋_GB2312" w:hAnsi="宋体" w:eastAsia="仿宋_GB2312" w:cs="Times New Roman"/>
          <w:sz w:val="32"/>
        </w:rPr>
        <w:t>万元。授予中小企业合同金</w:t>
      </w:r>
      <w:r>
        <w:rPr>
          <w:rFonts w:hint="eastAsia" w:ascii="仿宋_GB2312" w:hAnsi="宋体" w:eastAsia="仿宋_GB2312" w:cs="Times New Roman"/>
          <w:sz w:val="32"/>
          <w:lang w:val="en-US" w:eastAsia="zh-CN"/>
        </w:rPr>
        <w:t>57.62</w:t>
      </w:r>
      <w:r>
        <w:rPr>
          <w:rFonts w:hint="eastAsia" w:ascii="仿宋_GB2312" w:hAnsi="宋体" w:eastAsia="仿宋_GB2312" w:cs="Times New Roman"/>
          <w:sz w:val="32"/>
        </w:rPr>
        <w:t>万元，占政府采购支出总额的</w:t>
      </w:r>
      <w:r>
        <w:rPr>
          <w:rFonts w:hint="eastAsia" w:ascii="仿宋_GB2312" w:hAnsi="宋体" w:eastAsia="仿宋_GB2312" w:cs="Times New Roman"/>
          <w:sz w:val="32"/>
          <w:lang w:val="en-US" w:eastAsia="zh-CN"/>
        </w:rPr>
        <w:t>100</w:t>
      </w:r>
      <w:r>
        <w:rPr>
          <w:rFonts w:hint="eastAsia" w:ascii="仿宋_GB2312" w:hAnsi="宋体" w:eastAsia="仿宋_GB2312" w:cs="Times New Roman"/>
          <w:sz w:val="32"/>
        </w:rPr>
        <w:t>%，其中：授予小微企</w:t>
      </w:r>
      <w:r>
        <w:rPr>
          <w:rFonts w:hint="eastAsia" w:ascii="仿宋_GB2312" w:hAnsi="宋体" w:eastAsia="仿宋_GB2312" w:cs="Times New Roman"/>
          <w:sz w:val="32"/>
          <w:lang w:eastAsia="zh-CN"/>
        </w:rPr>
        <w:t>业</w:t>
      </w:r>
      <w:r>
        <w:rPr>
          <w:rFonts w:hint="eastAsia" w:ascii="仿宋_GB2312" w:hAnsi="宋体" w:eastAsia="仿宋_GB2312" w:cs="Times New Roman"/>
          <w:sz w:val="32"/>
        </w:rPr>
        <w:t>合同金额</w:t>
      </w:r>
      <w:r>
        <w:rPr>
          <w:rFonts w:hint="eastAsia" w:ascii="仿宋_GB2312" w:hAnsi="宋体" w:eastAsia="仿宋_GB2312" w:cs="Times New Roman"/>
          <w:sz w:val="32"/>
          <w:lang w:val="en-US" w:eastAsia="zh-CN"/>
        </w:rPr>
        <w:t>57.16</w:t>
      </w:r>
      <w:r>
        <w:rPr>
          <w:rFonts w:hint="eastAsia" w:ascii="仿宋_GB2312" w:hAnsi="宋体" w:eastAsia="仿宋_GB2312" w:cs="Times New Roman"/>
          <w:sz w:val="32"/>
        </w:rPr>
        <w:t>万元，占授予中小企业合同金额的</w:t>
      </w:r>
      <w:r>
        <w:rPr>
          <w:rFonts w:hint="eastAsia" w:ascii="仿宋_GB2312" w:hAnsi="宋体" w:eastAsia="仿宋_GB2312" w:cs="Times New Roman"/>
          <w:sz w:val="32"/>
          <w:lang w:val="en-US" w:eastAsia="zh-CN"/>
        </w:rPr>
        <w:t>99.2</w:t>
      </w:r>
      <w:r>
        <w:rPr>
          <w:rFonts w:hint="eastAsia" w:ascii="仿宋_GB2312" w:hAnsi="宋体" w:eastAsia="仿宋_GB2312" w:cs="Times New Roman"/>
          <w:sz w:val="32"/>
        </w:rPr>
        <w:t>%；货物采购授予中小企业合同金额占货物支出金额的</w:t>
      </w:r>
      <w:r>
        <w:rPr>
          <w:rFonts w:hint="eastAsia" w:ascii="仿宋_GB2312" w:hAnsi="宋体" w:eastAsia="仿宋_GB2312" w:cs="Times New Roman"/>
          <w:sz w:val="32"/>
          <w:lang w:val="en-US" w:eastAsia="zh-CN"/>
        </w:rPr>
        <w:t>100</w:t>
      </w:r>
      <w:r>
        <w:rPr>
          <w:rFonts w:hint="eastAsia" w:ascii="仿宋_GB2312" w:hAnsi="宋体" w:eastAsia="仿宋_GB2312" w:cs="Times New Roman"/>
          <w:sz w:val="32"/>
        </w:rPr>
        <w:t>%，工程采购授予中小企业合同金额占工程支出金额的</w:t>
      </w:r>
      <w:r>
        <w:rPr>
          <w:rFonts w:hint="eastAsia" w:ascii="仿宋_GB2312" w:hAnsi="宋体" w:eastAsia="仿宋_GB2312" w:cs="Times New Roman"/>
          <w:sz w:val="32"/>
          <w:lang w:val="en-US" w:eastAsia="zh-CN"/>
        </w:rPr>
        <w:t>100</w:t>
      </w:r>
      <w:r>
        <w:rPr>
          <w:rFonts w:hint="eastAsia" w:ascii="仿宋_GB2312" w:hAnsi="宋体" w:eastAsia="仿宋_GB2312" w:cs="Times New Roman"/>
          <w:sz w:val="32"/>
        </w:rPr>
        <w:t>%，服务采购授予中小企业合同金额占服务支出金额的</w:t>
      </w:r>
      <w:r>
        <w:rPr>
          <w:rFonts w:hint="eastAsia" w:ascii="仿宋_GB2312" w:hAnsi="宋体" w:eastAsia="仿宋_GB2312" w:cs="Times New Roman"/>
          <w:sz w:val="32"/>
          <w:lang w:val="en-US" w:eastAsia="zh-CN"/>
        </w:rPr>
        <w:t>100</w:t>
      </w:r>
      <w:r>
        <w:rPr>
          <w:rFonts w:hint="eastAsia" w:ascii="仿宋_GB2312" w:hAnsi="宋体" w:eastAsia="仿宋_GB2312" w:cs="Times New Roman"/>
          <w:sz w:val="32"/>
        </w:rPr>
        <w:t>%。</w:t>
      </w:r>
    </w:p>
    <w:p>
      <w:pPr>
        <w:pStyle w:val="13"/>
        <w:numPr>
          <w:ilvl w:val="0"/>
          <w:numId w:val="0"/>
        </w:numPr>
        <w:spacing w:before="0" w:beforeAutospacing="0" w:after="0" w:afterAutospacing="0" w:line="560" w:lineRule="exact"/>
        <w:ind w:leftChars="200" w:firstLine="320" w:firstLineChars="100"/>
        <w:rPr>
          <w:rStyle w:val="16"/>
          <w:rFonts w:hint="eastAsia"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lang w:eastAsia="zh-CN"/>
        </w:rPr>
        <w:t>十二、</w:t>
      </w:r>
      <w:r>
        <w:rPr>
          <w:rStyle w:val="16"/>
          <w:rFonts w:hint="eastAsia" w:ascii="楷体_GB2312" w:hAnsi="楷体" w:eastAsia="楷体_GB2312" w:cs="楷体"/>
          <w:b w:val="0"/>
          <w:sz w:val="32"/>
          <w:szCs w:val="32"/>
          <w:shd w:val="clear" w:color="auto" w:fill="FFFFFF"/>
        </w:rPr>
        <w:t>关于国有资产占用情况说明</w:t>
      </w:r>
    </w:p>
    <w:p>
      <w:pPr>
        <w:pStyle w:val="13"/>
        <w:numPr>
          <w:ilvl w:val="0"/>
          <w:numId w:val="0"/>
        </w:numPr>
        <w:spacing w:before="0" w:beforeAutospacing="0" w:after="0" w:afterAutospacing="0" w:line="560" w:lineRule="exact"/>
        <w:ind w:firstLine="640" w:firstLineChars="200"/>
        <w:rPr>
          <w:rFonts w:eastAsia="仿宋_GB2312"/>
          <w:sz w:val="32"/>
        </w:rPr>
      </w:pPr>
      <w:r>
        <w:rPr>
          <w:rFonts w:eastAsia="仿宋_GB2312"/>
          <w:sz w:val="32"/>
        </w:rPr>
        <w:t>截至20</w:t>
      </w:r>
      <w:r>
        <w:rPr>
          <w:rFonts w:hint="eastAsia" w:eastAsia="仿宋_GB2312"/>
          <w:sz w:val="32"/>
        </w:rPr>
        <w:t>20</w:t>
      </w:r>
      <w:r>
        <w:rPr>
          <w:rFonts w:eastAsia="仿宋_GB2312"/>
          <w:sz w:val="32"/>
        </w:rPr>
        <w:t>年12月31日，</w:t>
      </w:r>
      <w:r>
        <w:rPr>
          <w:rFonts w:hint="eastAsia" w:eastAsia="仿宋_GB2312"/>
          <w:sz w:val="32"/>
          <w:lang w:eastAsia="zh-CN"/>
        </w:rPr>
        <w:t>我院</w:t>
      </w:r>
      <w:r>
        <w:rPr>
          <w:rFonts w:eastAsia="仿宋_GB2312"/>
          <w:sz w:val="32"/>
        </w:rPr>
        <w:t>共有车辆</w:t>
      </w:r>
      <w:r>
        <w:rPr>
          <w:rFonts w:hint="eastAsia" w:eastAsia="仿宋_GB2312"/>
          <w:sz w:val="32"/>
          <w:lang w:val="en-US" w:eastAsia="zh-CN"/>
        </w:rPr>
        <w:t>6</w:t>
      </w:r>
      <w:r>
        <w:rPr>
          <w:rFonts w:eastAsia="仿宋_GB2312"/>
          <w:sz w:val="32"/>
        </w:rPr>
        <w:t>辆，其中，领导干部用车</w:t>
      </w:r>
      <w:r>
        <w:rPr>
          <w:rFonts w:hint="eastAsia" w:eastAsia="仿宋_GB2312"/>
          <w:sz w:val="32"/>
          <w:lang w:val="en-US" w:eastAsia="zh-CN"/>
        </w:rPr>
        <w:t>0</w:t>
      </w:r>
      <w:r>
        <w:rPr>
          <w:rFonts w:eastAsia="仿宋_GB2312"/>
          <w:sz w:val="32"/>
        </w:rPr>
        <w:t>辆、机要通信用车</w:t>
      </w:r>
      <w:r>
        <w:rPr>
          <w:rFonts w:hint="eastAsia" w:eastAsia="仿宋_GB2312"/>
          <w:sz w:val="32"/>
          <w:lang w:val="en-US" w:eastAsia="zh-CN"/>
        </w:rPr>
        <w:t>0</w:t>
      </w:r>
      <w:r>
        <w:rPr>
          <w:rFonts w:eastAsia="仿宋_GB2312"/>
          <w:sz w:val="32"/>
        </w:rPr>
        <w:t>辆、应急保障用车</w:t>
      </w:r>
      <w:r>
        <w:rPr>
          <w:rFonts w:hint="eastAsia" w:eastAsia="仿宋_GB2312"/>
          <w:sz w:val="32"/>
          <w:lang w:val="en-US" w:eastAsia="zh-CN"/>
        </w:rPr>
        <w:t>0</w:t>
      </w:r>
      <w:r>
        <w:rPr>
          <w:rFonts w:eastAsia="仿宋_GB2312"/>
          <w:sz w:val="32"/>
        </w:rPr>
        <w:t>辆、执法执勤用车</w:t>
      </w:r>
      <w:r>
        <w:rPr>
          <w:rFonts w:hint="eastAsia" w:eastAsia="仿宋_GB2312"/>
          <w:sz w:val="32"/>
          <w:lang w:val="en-US" w:eastAsia="zh-CN"/>
        </w:rPr>
        <w:t>6</w:t>
      </w:r>
      <w:r>
        <w:rPr>
          <w:rFonts w:eastAsia="仿宋_GB2312"/>
          <w:sz w:val="32"/>
        </w:rPr>
        <w:t>辆、单位价值50万元以上通用设备</w:t>
      </w:r>
      <w:r>
        <w:rPr>
          <w:rFonts w:hint="eastAsia" w:eastAsia="仿宋_GB2312"/>
          <w:sz w:val="32"/>
          <w:lang w:val="en-US" w:eastAsia="zh-CN"/>
        </w:rPr>
        <w:t>0</w:t>
      </w:r>
      <w:r>
        <w:rPr>
          <w:rFonts w:eastAsia="仿宋_GB2312"/>
          <w:sz w:val="32"/>
        </w:rPr>
        <w:t>台（套）；单位价值100万元以上专用设备</w:t>
      </w:r>
      <w:r>
        <w:rPr>
          <w:rFonts w:hint="eastAsia" w:eastAsia="仿宋_GB2312"/>
          <w:sz w:val="32"/>
          <w:lang w:val="en-US" w:eastAsia="zh-CN"/>
        </w:rPr>
        <w:t>0</w:t>
      </w:r>
      <w:r>
        <w:rPr>
          <w:rFonts w:eastAsia="仿宋_GB2312"/>
          <w:sz w:val="32"/>
        </w:rPr>
        <w:t>台（套）。</w:t>
      </w:r>
      <w:bookmarkEnd w:id="30"/>
      <w:bookmarkEnd w:id="31"/>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bookmarkStart w:id="32" w:name="_Toc16970"/>
      <w:r>
        <w:rPr>
          <w:rStyle w:val="16"/>
          <w:rFonts w:hint="eastAsia" w:ascii="楷体_GB2312" w:hAnsi="楷体" w:eastAsia="楷体_GB2312" w:cs="楷体"/>
          <w:b w:val="0"/>
          <w:sz w:val="32"/>
          <w:szCs w:val="32"/>
          <w:shd w:val="clear" w:color="auto" w:fill="FFFFFF"/>
        </w:rPr>
        <w:t>十三、关于2020年度预算绩效情况说明</w:t>
      </w:r>
    </w:p>
    <w:p>
      <w:pPr>
        <w:keepNext w:val="0"/>
        <w:keepLines w:val="0"/>
        <w:pageBreakBefore w:val="0"/>
        <w:kinsoku/>
        <w:wordWrap/>
        <w:overflowPunct/>
        <w:topLinePunct w:val="0"/>
        <w:autoSpaceDE/>
        <w:autoSpaceDN/>
        <w:bidi w:val="0"/>
        <w:spacing w:line="530" w:lineRule="exact"/>
        <w:ind w:right="0" w:rightChars="0" w:firstLine="640" w:firstLineChars="200"/>
        <w:textAlignment w:val="auto"/>
        <w:outlineLvl w:val="9"/>
        <w:rPr>
          <w:rStyle w:val="16"/>
          <w:rFonts w:hint="eastAsia" w:ascii="黑体" w:hAnsi="黑体" w:eastAsia="黑体" w:cs="黑体"/>
          <w:sz w:val="44"/>
          <w:szCs w:val="44"/>
          <w:shd w:val="clear" w:color="auto" w:fill="FFFFFF"/>
        </w:rPr>
      </w:pPr>
      <w:r>
        <w:rPr>
          <w:rFonts w:hint="eastAsia" w:ascii="仿宋_GB2312" w:hAnsi="仿宋" w:eastAsia="仿宋_GB2312"/>
          <w:color w:val="000000"/>
          <w:sz w:val="32"/>
          <w:szCs w:val="32"/>
        </w:rPr>
        <w:t>2020年，我院坚持以习近平新时代中国特色社会主义思想为指导，全面贯彻党的十九大和十九届中央</w:t>
      </w:r>
      <w:r>
        <w:rPr>
          <w:rFonts w:hint="eastAsia" w:ascii="仿宋_GB2312" w:hAnsi="仿宋" w:eastAsia="仿宋_GB2312"/>
          <w:color w:val="000000"/>
          <w:sz w:val="32"/>
          <w:szCs w:val="32"/>
          <w:lang w:eastAsia="zh-CN"/>
        </w:rPr>
        <w:t>历次</w:t>
      </w:r>
      <w:r>
        <w:rPr>
          <w:rFonts w:hint="eastAsia" w:ascii="仿宋_GB2312" w:hAnsi="仿宋" w:eastAsia="仿宋_GB2312"/>
          <w:color w:val="000000"/>
          <w:sz w:val="32"/>
          <w:szCs w:val="32"/>
        </w:rPr>
        <w:t>重要会议精神，</w:t>
      </w:r>
      <w:r>
        <w:rPr>
          <w:rStyle w:val="58"/>
          <w:rFonts w:eastAsia="仿宋_GB2312"/>
          <w:sz w:val="32"/>
          <w:szCs w:val="32"/>
        </w:rPr>
        <w:t>在</w:t>
      </w:r>
      <w:r>
        <w:rPr>
          <w:rStyle w:val="58"/>
          <w:rFonts w:hint="eastAsia" w:eastAsia="仿宋_GB2312"/>
          <w:sz w:val="32"/>
          <w:szCs w:val="32"/>
        </w:rPr>
        <w:t>县</w:t>
      </w:r>
      <w:r>
        <w:rPr>
          <w:rStyle w:val="58"/>
          <w:rFonts w:eastAsia="仿宋_GB2312"/>
          <w:sz w:val="32"/>
          <w:szCs w:val="32"/>
        </w:rPr>
        <w:t>委和</w:t>
      </w:r>
      <w:r>
        <w:rPr>
          <w:rStyle w:val="58"/>
          <w:rFonts w:hint="eastAsia" w:eastAsia="仿宋_GB2312"/>
          <w:sz w:val="32"/>
          <w:szCs w:val="32"/>
        </w:rPr>
        <w:t>上级</w:t>
      </w:r>
      <w:r>
        <w:rPr>
          <w:rStyle w:val="58"/>
          <w:rFonts w:eastAsia="仿宋_GB2312"/>
          <w:sz w:val="32"/>
          <w:szCs w:val="32"/>
        </w:rPr>
        <w:t>检察院的正确领导下，在</w:t>
      </w:r>
      <w:r>
        <w:rPr>
          <w:rStyle w:val="58"/>
          <w:rFonts w:hint="eastAsia" w:eastAsia="仿宋_GB2312"/>
          <w:sz w:val="32"/>
          <w:szCs w:val="32"/>
        </w:rPr>
        <w:t>县</w:t>
      </w:r>
      <w:r>
        <w:rPr>
          <w:rStyle w:val="58"/>
          <w:rFonts w:eastAsia="仿宋_GB2312"/>
          <w:sz w:val="32"/>
          <w:szCs w:val="32"/>
        </w:rPr>
        <w:t>人大及其常委会的有力监督</w:t>
      </w:r>
      <w:r>
        <w:rPr>
          <w:rStyle w:val="58"/>
          <w:rFonts w:hint="eastAsia" w:eastAsia="仿宋_GB2312"/>
          <w:sz w:val="32"/>
          <w:szCs w:val="32"/>
        </w:rPr>
        <w:t>下，在县</w:t>
      </w:r>
      <w:r>
        <w:rPr>
          <w:rStyle w:val="58"/>
          <w:rFonts w:eastAsia="仿宋_GB2312"/>
          <w:sz w:val="32"/>
          <w:szCs w:val="32"/>
        </w:rPr>
        <w:t>政府、</w:t>
      </w:r>
      <w:r>
        <w:rPr>
          <w:rStyle w:val="58"/>
          <w:rFonts w:hint="eastAsia" w:eastAsia="仿宋_GB2312"/>
          <w:sz w:val="32"/>
          <w:szCs w:val="32"/>
        </w:rPr>
        <w:t>县</w:t>
      </w:r>
      <w:r>
        <w:rPr>
          <w:rStyle w:val="58"/>
          <w:rFonts w:eastAsia="仿宋_GB2312"/>
          <w:sz w:val="32"/>
          <w:szCs w:val="32"/>
        </w:rPr>
        <w:t>政协及社会各界的关心支持下，</w:t>
      </w:r>
      <w:r>
        <w:rPr>
          <w:rStyle w:val="58"/>
          <w:rFonts w:hint="eastAsia" w:eastAsia="仿宋_GB2312"/>
          <w:sz w:val="32"/>
          <w:szCs w:val="32"/>
        </w:rPr>
        <w:t>坚持</w:t>
      </w:r>
      <w:r>
        <w:rPr>
          <w:rStyle w:val="58"/>
          <w:rFonts w:eastAsia="仿宋_GB2312"/>
          <w:sz w:val="32"/>
          <w:szCs w:val="32"/>
        </w:rPr>
        <w:t>“讲政治、顾大局、谋发展、重自强”</w:t>
      </w:r>
      <w:r>
        <w:rPr>
          <w:rStyle w:val="58"/>
          <w:rFonts w:hint="eastAsia" w:eastAsia="仿宋_GB2312"/>
          <w:sz w:val="32"/>
          <w:szCs w:val="32"/>
        </w:rPr>
        <w:t>的</w:t>
      </w:r>
      <w:r>
        <w:rPr>
          <w:rStyle w:val="58"/>
          <w:rFonts w:eastAsia="仿宋_GB2312"/>
          <w:sz w:val="32"/>
          <w:szCs w:val="32"/>
        </w:rPr>
        <w:t>新时代检察工作总要求，</w:t>
      </w:r>
      <w:r>
        <w:rPr>
          <w:rFonts w:hint="eastAsia" w:ascii="Times New Roman" w:hAnsi="Times New Roman" w:eastAsia="仿宋_GB2312"/>
          <w:bCs/>
          <w:sz w:val="32"/>
          <w:szCs w:val="32"/>
        </w:rPr>
        <w:t>全面履行检察职能，</w:t>
      </w:r>
      <w:r>
        <w:rPr>
          <w:rFonts w:hint="eastAsia" w:ascii="仿宋_GB2312" w:hAnsi="仿宋" w:eastAsia="仿宋_GB2312"/>
          <w:color w:val="000000"/>
          <w:sz w:val="32"/>
          <w:szCs w:val="32"/>
        </w:rPr>
        <w:t>各项工作取得了较好成效</w:t>
      </w:r>
      <w:r>
        <w:rPr>
          <w:rStyle w:val="58"/>
          <w:rFonts w:hint="eastAsia" w:eastAsia="仿宋_GB2312" w:cs="仿宋_GB2312"/>
          <w:sz w:val="32"/>
          <w:szCs w:val="32"/>
          <w:lang w:eastAsia="zh-CN"/>
        </w:rPr>
        <w:t>。</w:t>
      </w:r>
      <w:r>
        <w:rPr>
          <w:rStyle w:val="58"/>
          <w:rFonts w:hint="eastAsia" w:ascii="仿宋_GB2312" w:eastAsia="仿宋_GB2312"/>
          <w:sz w:val="32"/>
          <w:szCs w:val="32"/>
        </w:rPr>
        <w:t>20</w:t>
      </w:r>
      <w:r>
        <w:rPr>
          <w:rStyle w:val="58"/>
          <w:rFonts w:hint="eastAsia" w:ascii="仿宋_GB2312" w:eastAsia="仿宋_GB2312"/>
          <w:sz w:val="32"/>
          <w:szCs w:val="32"/>
          <w:lang w:val="en-US" w:eastAsia="zh-CN"/>
        </w:rPr>
        <w:t>20</w:t>
      </w:r>
      <w:r>
        <w:rPr>
          <w:rStyle w:val="58"/>
          <w:rFonts w:hint="eastAsia" w:ascii="仿宋_GB2312" w:eastAsia="仿宋_GB2312"/>
          <w:sz w:val="32"/>
          <w:szCs w:val="32"/>
        </w:rPr>
        <w:t>年，我院</w:t>
      </w:r>
      <w:r>
        <w:rPr>
          <w:rFonts w:hint="eastAsia" w:ascii="Times New Roman" w:hAnsi="Times New Roman" w:eastAsia="仿宋_GB2312"/>
          <w:sz w:val="32"/>
          <w:szCs w:val="32"/>
        </w:rPr>
        <w:t>共受理审查逮捕、审查起诉案件</w:t>
      </w:r>
      <w:r>
        <w:rPr>
          <w:rFonts w:hint="eastAsia" w:ascii="Times New Roman" w:hAnsi="Times New Roman" w:eastAsia="仿宋_GB2312"/>
          <w:sz w:val="32"/>
          <w:szCs w:val="32"/>
          <w:lang w:val="en-US" w:eastAsia="zh-CN"/>
        </w:rPr>
        <w:t>867</w:t>
      </w:r>
      <w:r>
        <w:rPr>
          <w:rFonts w:hint="eastAsia" w:ascii="Times New Roman" w:hAnsi="Times New Roman" w:eastAsia="仿宋_GB2312"/>
          <w:sz w:val="32"/>
          <w:szCs w:val="32"/>
        </w:rPr>
        <w:t>件1</w:t>
      </w:r>
      <w:r>
        <w:rPr>
          <w:rFonts w:hint="eastAsia" w:ascii="Times New Roman" w:hAnsi="Times New Roman" w:eastAsia="仿宋_GB2312"/>
          <w:sz w:val="32"/>
          <w:szCs w:val="32"/>
          <w:lang w:val="en-US" w:eastAsia="zh-CN"/>
        </w:rPr>
        <w:t>510</w:t>
      </w:r>
      <w:r>
        <w:rPr>
          <w:rFonts w:hint="eastAsia" w:ascii="Times New Roman" w:hAnsi="Times New Roman" w:eastAsia="仿宋_GB2312"/>
          <w:sz w:val="32"/>
          <w:szCs w:val="32"/>
        </w:rPr>
        <w:t>人，</w:t>
      </w:r>
      <w:r>
        <w:rPr>
          <w:rFonts w:hint="eastAsia" w:ascii="仿宋_GB2312" w:eastAsia="仿宋_GB2312"/>
          <w:color w:val="000000"/>
          <w:sz w:val="32"/>
          <w:szCs w:val="32"/>
        </w:rPr>
        <w:t>批捕</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538</w:t>
      </w:r>
      <w:r>
        <w:rPr>
          <w:rFonts w:hint="eastAsia" w:ascii="仿宋_GB2312" w:eastAsia="仿宋_GB2312"/>
          <w:color w:val="000000"/>
          <w:sz w:val="32"/>
          <w:szCs w:val="32"/>
        </w:rPr>
        <w:t>人,起诉4</w:t>
      </w:r>
      <w:r>
        <w:rPr>
          <w:rFonts w:hint="eastAsia" w:ascii="仿宋_GB2312" w:eastAsia="仿宋_GB2312"/>
          <w:color w:val="000000"/>
          <w:sz w:val="32"/>
          <w:szCs w:val="32"/>
          <w:lang w:val="en-US" w:eastAsia="zh-CN"/>
        </w:rPr>
        <w:t>74</w:t>
      </w:r>
      <w:r>
        <w:rPr>
          <w:rFonts w:hint="eastAsia" w:ascii="仿宋_GB2312" w:eastAsia="仿宋_GB2312"/>
          <w:color w:val="000000"/>
          <w:sz w:val="32"/>
          <w:szCs w:val="32"/>
        </w:rPr>
        <w:t>件</w:t>
      </w:r>
      <w:r>
        <w:rPr>
          <w:rFonts w:hint="eastAsia" w:ascii="仿宋_GB2312" w:eastAsia="仿宋_GB2312"/>
          <w:color w:val="000000"/>
          <w:sz w:val="32"/>
          <w:szCs w:val="32"/>
          <w:lang w:val="en-US" w:eastAsia="zh-CN"/>
        </w:rPr>
        <w:t>866</w:t>
      </w:r>
      <w:r>
        <w:rPr>
          <w:rFonts w:hint="eastAsia" w:ascii="仿宋_GB2312" w:eastAsia="仿宋_GB2312"/>
          <w:color w:val="000000"/>
          <w:sz w:val="32"/>
          <w:szCs w:val="32"/>
        </w:rPr>
        <w:t>人,</w:t>
      </w:r>
      <w:r>
        <w:rPr>
          <w:rFonts w:hint="eastAsia" w:ascii="仿宋_GB2312" w:hAnsi="仿宋_GB2312" w:eastAsia="仿宋_GB2312" w:cs="仿宋_GB2312"/>
          <w:sz w:val="32"/>
          <w:szCs w:val="32"/>
          <w:lang w:eastAsia="zh-CN"/>
        </w:rPr>
        <w:t>办理各类公益诉讼案件</w:t>
      </w:r>
      <w:r>
        <w:rPr>
          <w:rFonts w:hint="eastAsia" w:ascii="仿宋_GB2312" w:hAnsi="仿宋_GB2312" w:eastAsia="仿宋_GB2312" w:cs="仿宋_GB2312"/>
          <w:sz w:val="32"/>
          <w:szCs w:val="32"/>
          <w:lang w:val="en-US" w:eastAsia="zh-CN"/>
        </w:rPr>
        <w:t>131件。</w:t>
      </w:r>
      <w:r>
        <w:rPr>
          <w:rFonts w:hint="eastAsia" w:ascii="仿宋_GB2312" w:hAnsi="仿宋" w:eastAsia="仿宋_GB2312" w:cs="仿宋"/>
          <w:sz w:val="32"/>
          <w:szCs w:val="32"/>
          <w:lang w:val="en-US" w:eastAsia="zh-CN"/>
        </w:rPr>
        <w:t>2018至2020</w:t>
      </w:r>
      <w:r>
        <w:rPr>
          <w:rStyle w:val="58"/>
          <w:rFonts w:hint="eastAsia" w:eastAsia="仿宋_GB2312" w:cs="仿宋_GB2312"/>
          <w:sz w:val="32"/>
          <w:szCs w:val="32"/>
        </w:rPr>
        <w:t>连续</w:t>
      </w:r>
      <w:r>
        <w:rPr>
          <w:rStyle w:val="58"/>
          <w:rFonts w:hint="eastAsia" w:eastAsia="仿宋_GB2312" w:cs="仿宋_GB2312"/>
          <w:sz w:val="32"/>
          <w:szCs w:val="32"/>
          <w:lang w:eastAsia="zh-CN"/>
        </w:rPr>
        <w:t>三</w:t>
      </w:r>
      <w:r>
        <w:rPr>
          <w:rStyle w:val="58"/>
          <w:rFonts w:hint="eastAsia" w:eastAsia="仿宋_GB2312" w:cs="仿宋_GB2312"/>
          <w:sz w:val="32"/>
          <w:szCs w:val="32"/>
        </w:rPr>
        <w:t>年获评全市先进基层检察院，在全县绩效考核中获</w:t>
      </w:r>
      <w:r>
        <w:rPr>
          <w:rStyle w:val="58"/>
          <w:rFonts w:hint="eastAsia" w:eastAsia="仿宋_GB2312" w:cs="仿宋_GB2312"/>
          <w:sz w:val="32"/>
          <w:szCs w:val="32"/>
          <w:lang w:eastAsia="zh-CN"/>
        </w:rPr>
        <w:t>优秀等次</w:t>
      </w:r>
      <w:r>
        <w:rPr>
          <w:rStyle w:val="58"/>
          <w:rFonts w:hint="eastAsia" w:eastAsia="仿宋_GB2312" w:cs="仿宋_GB2312"/>
          <w:sz w:val="32"/>
          <w:szCs w:val="32"/>
        </w:rPr>
        <w:t>，扫黑除恶工作获评全省检察机关专项斗争先进集体，9个单项工作获评县级先进。干警立功受奖45人次。</w:t>
      </w:r>
    </w:p>
    <w:p>
      <w:pPr>
        <w:pStyle w:val="13"/>
        <w:spacing w:before="0" w:beforeAutospacing="0" w:after="0" w:afterAutospacing="0" w:line="560" w:lineRule="exact"/>
        <w:ind w:firstLine="880" w:firstLineChars="200"/>
        <w:jc w:val="center"/>
        <w:outlineLvl w:val="0"/>
        <w:rPr>
          <w:rStyle w:val="16"/>
          <w:rFonts w:cs="宋体"/>
          <w:b w:val="0"/>
          <w:bCs/>
          <w:sz w:val="32"/>
          <w:szCs w:val="32"/>
          <w:shd w:val="clear" w:color="auto" w:fill="FFFFFF"/>
        </w:rPr>
      </w:pPr>
      <w:r>
        <w:rPr>
          <w:rStyle w:val="16"/>
          <w:rFonts w:hint="eastAsia" w:ascii="黑体" w:hAnsi="黑体" w:eastAsia="黑体" w:cs="黑体"/>
          <w:b w:val="0"/>
          <w:bCs/>
          <w:sz w:val="44"/>
          <w:szCs w:val="44"/>
          <w:shd w:val="clear" w:color="auto" w:fill="FFFFFF"/>
        </w:rPr>
        <w:t>第四部分 名词解释</w:t>
      </w:r>
      <w:bookmarkEnd w:id="32"/>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一、财政拨款收入</w:t>
      </w:r>
      <w:r>
        <w:rPr>
          <w:rStyle w:val="16"/>
          <w:rFonts w:ascii="楷体_GB2312" w:hAnsi="楷体" w:eastAsia="楷体_GB2312" w:cs="楷体"/>
          <w:shd w:val="clear" w:color="auto" w:fill="FFFFFF"/>
        </w:rPr>
        <w:t>：</w:t>
      </w:r>
      <w:r>
        <w:rPr>
          <w:rFonts w:ascii="仿宋_GB2312" w:hAnsi="Times New Roman" w:eastAsia="仿宋_GB2312" w:cs="仿宋_GB2312"/>
          <w:color w:val="353535"/>
          <w:sz w:val="32"/>
          <w:szCs w:val="32"/>
        </w:rPr>
        <w:t>指省本级财政当年拨付的资金。</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二、其他收入</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指除财政拨款收入、事业收入等以外的收入。主要是指非本级财政拨款收入、补助收入、存款利息收入等。</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三、上年结转和结余</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指以前年度尚未完成、结转到本年仍按原规定用途继续使用的资金，或项目已完成产生的结余资金。</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四、年末结转和结余</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指单位按有关规定结转到下年或以后年度继续使用的资金，或项目已完成产生的结余资金。</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五、公共安全支出（类）检察（款）</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指检察机关用于保障机构正常运行、开展检察业务工作的支出。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六、教育支出（类）进修及培训（款）培训支出（项）：</w:t>
      </w:r>
      <w:r>
        <w:rPr>
          <w:rFonts w:ascii="仿宋_GB2312" w:hAnsi="Times New Roman" w:eastAsia="仿宋_GB2312" w:cs="仿宋_GB2312"/>
          <w:color w:val="353535"/>
          <w:sz w:val="32"/>
          <w:szCs w:val="32"/>
        </w:rPr>
        <w:t>指单位用于干警教育培训的支出。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七、社会保障和就业支出（类）行政事业单位离退休（款）未归口管理的行政单位离退休（项）：</w:t>
      </w:r>
      <w:r>
        <w:rPr>
          <w:rFonts w:ascii="仿宋_GB2312" w:hAnsi="Times New Roman" w:eastAsia="仿宋_GB2312" w:cs="仿宋_GB2312"/>
          <w:color w:val="353535"/>
          <w:sz w:val="32"/>
          <w:szCs w:val="32"/>
        </w:rPr>
        <w:t>指单位用于未归口社保的离退休人员的工资性支出。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八、住房保障支出（类）住房改革支出（款）：</w:t>
      </w:r>
      <w:r>
        <w:rPr>
          <w:rFonts w:ascii="仿宋_GB2312" w:hAnsi="Times New Roman" w:eastAsia="仿宋_GB2312" w:cs="仿宋_GB2312"/>
          <w:color w:val="353535"/>
          <w:sz w:val="32"/>
          <w:szCs w:val="32"/>
        </w:rPr>
        <w:t>指单位按照国家政策规定用于住房改革方面的支出。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（一）住房公积金（项）</w:t>
      </w:r>
      <w:r>
        <w:rPr>
          <w:rStyle w:val="16"/>
          <w:rFonts w:ascii="楷体_GB2312" w:hAnsi="楷体" w:eastAsia="楷体_GB2312" w:cs="楷体"/>
          <w:b w:val="0"/>
          <w:sz w:val="32"/>
          <w:szCs w:val="32"/>
          <w:shd w:val="clear" w:color="auto" w:fill="FFFFFF"/>
        </w:rPr>
        <w:t>：</w:t>
      </w:r>
      <w:r>
        <w:rPr>
          <w:rFonts w:ascii="仿宋_GB2312" w:hAnsi="Times New Roman" w:eastAsia="仿宋_GB2312" w:cs="仿宋_GB2312"/>
          <w:color w:val="353535"/>
          <w:sz w:val="32"/>
          <w:szCs w:val="32"/>
        </w:rPr>
        <w:t>指按照国家统一规定，按规定比例为职工缴纳的住房公积金。</w:t>
      </w:r>
    </w:p>
    <w:p>
      <w:pPr>
        <w:adjustRightInd w:val="0"/>
        <w:snapToGrid w:val="0"/>
        <w:spacing w:line="560" w:lineRule="exact"/>
        <w:ind w:firstLine="640" w:firstLineChars="200"/>
      </w:pPr>
      <w:r>
        <w:rPr>
          <w:rStyle w:val="16"/>
          <w:rFonts w:ascii="楷体_GB2312" w:hAnsi="楷体" w:eastAsia="楷体_GB2312" w:cs="楷体"/>
          <w:b w:val="0"/>
          <w:sz w:val="32"/>
          <w:szCs w:val="32"/>
          <w:shd w:val="clear" w:color="auto" w:fill="FFFFFF"/>
        </w:rPr>
        <w:t>（二）</w:t>
      </w:r>
      <w:r>
        <w:rPr>
          <w:rStyle w:val="16"/>
          <w:rFonts w:hint="eastAsia" w:ascii="楷体_GB2312" w:hAnsi="楷体" w:eastAsia="楷体_GB2312" w:cs="楷体"/>
          <w:b w:val="0"/>
          <w:sz w:val="32"/>
          <w:szCs w:val="32"/>
          <w:shd w:val="clear" w:color="auto" w:fill="FFFFFF"/>
        </w:rPr>
        <w:t>购房补贴（项）：</w:t>
      </w:r>
      <w:r>
        <w:rPr>
          <w:rFonts w:ascii="仿宋_GB2312" w:hAnsi="Times New Roman" w:eastAsia="仿宋_GB2312" w:cs="仿宋_GB2312"/>
          <w:color w:val="353535"/>
          <w:sz w:val="32"/>
          <w:szCs w:val="32"/>
        </w:rPr>
        <w:t>指</w:t>
      </w:r>
      <w:r>
        <w:rPr>
          <w:rFonts w:ascii="Times New Roman" w:hAnsi="Times New Roman"/>
          <w:color w:val="353535"/>
          <w:sz w:val="32"/>
          <w:szCs w:val="32"/>
        </w:rPr>
        <w:t>1998</w:t>
      </w:r>
      <w:r>
        <w:rPr>
          <w:rFonts w:ascii="仿宋_GB2312" w:hAnsi="Times New Roman" w:eastAsia="仿宋_GB2312" w:cs="仿宋_GB2312"/>
          <w:color w:val="353535"/>
          <w:sz w:val="32"/>
          <w:szCs w:val="32"/>
        </w:rPr>
        <w:t>年住房分配货币化改革以后，按照国家房改政策规定，向无房职工、住房面积未达到规定标准的职工发放的住房补贴。</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九、基本支出</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指为保障机构正常运转、完成日常工作任务而发生的人员支出和公用支出。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十、项目支出：</w:t>
      </w:r>
      <w:r>
        <w:rPr>
          <w:rFonts w:ascii="仿宋_GB2312" w:hAnsi="Times New Roman" w:eastAsia="仿宋_GB2312" w:cs="仿宋_GB2312"/>
          <w:color w:val="353535"/>
          <w:sz w:val="32"/>
          <w:szCs w:val="32"/>
        </w:rPr>
        <w:t>指在基本支出以外为完成特定任务和事业发展目标所发生的支出。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十一、“ 三公” 经费财政拨款支出：</w:t>
      </w:r>
      <w:r>
        <w:rPr>
          <w:rFonts w:ascii="仿宋_GB2312" w:hAnsi="Times New Roman" w:eastAsia="仿宋_GB2312" w:cs="仿宋_GB2312"/>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adjustRightInd w:val="0"/>
        <w:snapToGrid w:val="0"/>
        <w:spacing w:line="560" w:lineRule="exact"/>
        <w:ind w:firstLine="640" w:firstLineChars="200"/>
        <w:rPr>
          <w:rFonts w:ascii="仿宋_GB2312" w:hAnsi="Times New Roman" w:eastAsia="仿宋_GB2312" w:cs="仿宋_GB2312"/>
          <w:color w:val="353535"/>
          <w:sz w:val="32"/>
          <w:szCs w:val="32"/>
        </w:rPr>
      </w:pPr>
      <w:r>
        <w:rPr>
          <w:rStyle w:val="16"/>
          <w:rFonts w:hint="eastAsia" w:ascii="楷体_GB2312" w:hAnsi="楷体" w:eastAsia="楷体_GB2312" w:cs="楷体"/>
          <w:b w:val="0"/>
          <w:sz w:val="32"/>
          <w:szCs w:val="32"/>
          <w:shd w:val="clear" w:color="auto" w:fill="FFFFFF"/>
        </w:rPr>
        <w:t>十二、机关运行经费</w:t>
      </w:r>
      <w:r>
        <w:rPr>
          <w:rFonts w:hint="eastAsia" w:ascii="楷体_GB2312" w:eastAsia="楷体_GB2312" w:cs="黑体"/>
          <w:b/>
          <w:color w:val="353535"/>
          <w:sz w:val="32"/>
          <w:szCs w:val="32"/>
        </w:rPr>
        <w:t>：</w:t>
      </w:r>
      <w:r>
        <w:rPr>
          <w:rFonts w:ascii="仿宋_GB2312" w:hAnsi="Times New Roman" w:eastAsia="仿宋_GB2312" w:cs="仿宋_GB2312"/>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pStyle w:val="13"/>
        <w:spacing w:before="0" w:beforeAutospacing="0" w:after="0" w:afterAutospacing="0" w:line="560" w:lineRule="exact"/>
        <w:ind w:firstLine="880" w:firstLineChars="200"/>
        <w:jc w:val="center"/>
        <w:outlineLvl w:val="0"/>
        <w:rPr>
          <w:rStyle w:val="16"/>
          <w:rFonts w:hint="eastAsia" w:ascii="黑体" w:hAnsi="黑体" w:eastAsia="黑体" w:cs="黑体"/>
          <w:b w:val="0"/>
          <w:bCs/>
          <w:sz w:val="44"/>
          <w:szCs w:val="44"/>
          <w:shd w:val="clear" w:color="auto" w:fill="FFFFFF"/>
          <w:lang w:eastAsia="zh-CN"/>
        </w:rPr>
      </w:pPr>
      <w:r>
        <w:rPr>
          <w:rStyle w:val="16"/>
          <w:rFonts w:hint="eastAsia" w:ascii="黑体" w:hAnsi="黑体" w:eastAsia="黑体" w:cs="黑体"/>
          <w:b w:val="0"/>
          <w:bCs/>
          <w:sz w:val="44"/>
          <w:szCs w:val="44"/>
          <w:shd w:val="clear" w:color="auto" w:fill="FFFFFF"/>
        </w:rPr>
        <w:t>第</w:t>
      </w:r>
      <w:r>
        <w:rPr>
          <w:rStyle w:val="16"/>
          <w:rFonts w:hint="eastAsia" w:ascii="黑体" w:hAnsi="黑体" w:eastAsia="黑体" w:cs="黑体"/>
          <w:b w:val="0"/>
          <w:bCs/>
          <w:sz w:val="44"/>
          <w:szCs w:val="44"/>
          <w:shd w:val="clear" w:color="auto" w:fill="FFFFFF"/>
          <w:lang w:eastAsia="zh-CN"/>
        </w:rPr>
        <w:t>五</w:t>
      </w:r>
      <w:r>
        <w:rPr>
          <w:rStyle w:val="16"/>
          <w:rFonts w:hint="eastAsia" w:ascii="黑体" w:hAnsi="黑体" w:eastAsia="黑体" w:cs="黑体"/>
          <w:b w:val="0"/>
          <w:bCs/>
          <w:sz w:val="44"/>
          <w:szCs w:val="44"/>
          <w:shd w:val="clear" w:color="auto" w:fill="FFFFFF"/>
        </w:rPr>
        <w:t xml:space="preserve">部分 </w:t>
      </w:r>
      <w:r>
        <w:rPr>
          <w:rStyle w:val="16"/>
          <w:rFonts w:hint="eastAsia" w:ascii="黑体" w:hAnsi="黑体" w:eastAsia="黑体" w:cs="黑体"/>
          <w:b w:val="0"/>
          <w:bCs/>
          <w:sz w:val="44"/>
          <w:szCs w:val="44"/>
          <w:shd w:val="clear" w:color="auto" w:fill="FFFFFF"/>
          <w:lang w:eastAsia="zh-CN"/>
        </w:rPr>
        <w:t>附件</w:t>
      </w:r>
    </w:p>
    <w:p>
      <w:pPr>
        <w:pStyle w:val="13"/>
        <w:spacing w:before="0" w:beforeAutospacing="0" w:after="0" w:afterAutospacing="0" w:line="560" w:lineRule="exact"/>
        <w:ind w:firstLine="640" w:firstLineChars="200"/>
        <w:jc w:val="both"/>
        <w:outlineLvl w:val="0"/>
        <w:rPr>
          <w:rFonts w:hint="eastAsia" w:ascii="仿宋_GB2312" w:hAnsi="Times New Roman" w:eastAsia="仿宋_GB2312" w:cs="仿宋_GB2312"/>
          <w:color w:val="353535"/>
          <w:sz w:val="32"/>
          <w:szCs w:val="32"/>
          <w:lang w:val="en-US" w:eastAsia="zh-CN" w:bidi="ar-SA"/>
        </w:rPr>
      </w:pPr>
      <w:r>
        <w:rPr>
          <w:rFonts w:hint="eastAsia" w:ascii="仿宋_GB2312" w:hAnsi="Times New Roman" w:eastAsia="仿宋_GB2312" w:cs="仿宋_GB2312"/>
          <w:color w:val="353535"/>
          <w:sz w:val="32"/>
          <w:szCs w:val="32"/>
          <w:lang w:val="en-US" w:eastAsia="zh-CN" w:bidi="ar-SA"/>
        </w:rPr>
        <w:t>2020年度部门整体支出绩效评价报告</w:t>
      </w:r>
    </w:p>
    <w:p>
      <w:pPr>
        <w:ind w:firstLine="320" w:firstLineChars="100"/>
        <w:rPr>
          <w:rStyle w:val="16"/>
          <w:rFonts w:hint="eastAsia" w:ascii="宋体" w:hAnsi="宋体" w:eastAsia="宋体" w:cs="宋体"/>
          <w:b w:val="0"/>
          <w:sz w:val="32"/>
          <w:szCs w:val="32"/>
          <w:shd w:val="clear" w:color="auto" w:fill="FFFFFF"/>
          <w:lang w:val="en-US" w:eastAsia="zh-CN"/>
        </w:rPr>
      </w:pPr>
      <w:r>
        <w:rPr>
          <w:rStyle w:val="16"/>
          <w:rFonts w:hint="eastAsia" w:cs="宋体"/>
          <w:b w:val="0"/>
          <w:sz w:val="32"/>
          <w:szCs w:val="32"/>
          <w:shd w:val="clear" w:color="auto" w:fill="FFFFFF"/>
          <w:lang w:val="en-US" w:eastAsia="zh-CN"/>
        </w:rPr>
        <w:t>(</w:t>
      </w:r>
      <w:r>
        <w:rPr>
          <w:rStyle w:val="16"/>
          <w:rFonts w:hint="eastAsia" w:ascii="宋体" w:hAnsi="宋体" w:eastAsia="宋体" w:cs="宋体"/>
          <w:b w:val="0"/>
          <w:sz w:val="32"/>
          <w:szCs w:val="32"/>
          <w:shd w:val="clear" w:color="auto" w:fill="FFFFFF"/>
        </w:rPr>
        <w:t>https://www.hn.jcy.gov.cn/xwfb/czxx/qtczxxgk/202106/1464909166928723968.html</w:t>
      </w:r>
      <w:r>
        <w:rPr>
          <w:rStyle w:val="16"/>
          <w:rFonts w:hint="eastAsia" w:cs="宋体"/>
          <w:b w:val="0"/>
          <w:sz w:val="32"/>
          <w:szCs w:val="32"/>
          <w:shd w:val="clear" w:color="auto" w:fill="FFFFFF"/>
          <w:lang w:val="en-US" w:eastAsia="zh-CN"/>
        </w:rPr>
        <w:t>)</w:t>
      </w:r>
      <w:bookmarkStart w:id="33" w:name="_GoBack"/>
      <w:bookmarkEnd w:id="33"/>
    </w:p>
    <w:sectPr>
      <w:pgSz w:w="11915" w:h="16851"/>
      <w:pgMar w:top="1731"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A5FD2"/>
    <w:multiLevelType w:val="singleLevel"/>
    <w:tmpl w:val="993A5FD2"/>
    <w:lvl w:ilvl="0" w:tentative="0">
      <w:start w:val="9"/>
      <w:numFmt w:val="chineseCounting"/>
      <w:suff w:val="nothing"/>
      <w:lvlText w:val="%1、"/>
      <w:lvlJc w:val="left"/>
      <w:rPr>
        <w:rFonts w:hint="eastAsia"/>
      </w:rPr>
    </w:lvl>
  </w:abstractNum>
  <w:abstractNum w:abstractNumId="1">
    <w:nsid w:val="C43C5F5A"/>
    <w:multiLevelType w:val="singleLevel"/>
    <w:tmpl w:val="C43C5F5A"/>
    <w:lvl w:ilvl="0" w:tentative="0">
      <w:start w:val="1"/>
      <w:numFmt w:val="decimal"/>
      <w:suff w:val="nothing"/>
      <w:lvlText w:val="%1、"/>
      <w:lvlJc w:val="left"/>
    </w:lvl>
  </w:abstractNum>
  <w:abstractNum w:abstractNumId="2">
    <w:nsid w:val="2D8BB5A1"/>
    <w:multiLevelType w:val="singleLevel"/>
    <w:tmpl w:val="2D8BB5A1"/>
    <w:lvl w:ilvl="0" w:tentative="0">
      <w:start w:val="8"/>
      <w:numFmt w:val="chineseCounting"/>
      <w:suff w:val="nothing"/>
      <w:lvlText w:val="%1、"/>
      <w:lvlJc w:val="left"/>
      <w:rPr>
        <w:rFonts w:hint="eastAsia"/>
      </w:rPr>
    </w:lvl>
  </w:abstractNum>
  <w:abstractNum w:abstractNumId="3">
    <w:nsid w:val="4DD346A1"/>
    <w:multiLevelType w:val="singleLevel"/>
    <w:tmpl w:val="4DD346A1"/>
    <w:lvl w:ilvl="0" w:tentative="0">
      <w:start w:val="2"/>
      <w:numFmt w:val="chineseCounting"/>
      <w:suff w:val="nothing"/>
      <w:lvlText w:val="%1、"/>
      <w:lvlJc w:val="left"/>
      <w:rPr>
        <w:rFonts w:hint="eastAsia"/>
      </w:rPr>
    </w:lvl>
  </w:abstractNum>
  <w:abstractNum w:abstractNumId="4">
    <w:nsid w:val="62D4D951"/>
    <w:multiLevelType w:val="singleLevel"/>
    <w:tmpl w:val="62D4D951"/>
    <w:lvl w:ilvl="0" w:tentative="0">
      <w:start w:val="5"/>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doNotCompress"/>
  <w:hdrShapeDefaults>
    <o:shapelayout v:ext="edit">
      <o:idmap v:ext="edit" data="3,4"/>
    </o:shapelayout>
  </w:hdrShapeDefaults>
  <w:compat>
    <w:spaceForUL/>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Yzg3MTk3NzkyNWFlNjA0NDk5OGU3OTNlMWFmZDAifQ=="/>
  </w:docVars>
  <w:rsids>
    <w:rsidRoot w:val="00EC66CC"/>
    <w:rsid w:val="000F3AED"/>
    <w:rsid w:val="001135DF"/>
    <w:rsid w:val="00173BD7"/>
    <w:rsid w:val="002222B8"/>
    <w:rsid w:val="00264FC6"/>
    <w:rsid w:val="002B6F61"/>
    <w:rsid w:val="002C3F36"/>
    <w:rsid w:val="002C7590"/>
    <w:rsid w:val="00384218"/>
    <w:rsid w:val="004205E8"/>
    <w:rsid w:val="004D192C"/>
    <w:rsid w:val="00501BB5"/>
    <w:rsid w:val="00555B81"/>
    <w:rsid w:val="0058336D"/>
    <w:rsid w:val="006135E4"/>
    <w:rsid w:val="006973F1"/>
    <w:rsid w:val="0072261D"/>
    <w:rsid w:val="00766512"/>
    <w:rsid w:val="007D61B8"/>
    <w:rsid w:val="0088259E"/>
    <w:rsid w:val="00887309"/>
    <w:rsid w:val="00894463"/>
    <w:rsid w:val="008B652E"/>
    <w:rsid w:val="008E294B"/>
    <w:rsid w:val="0092415A"/>
    <w:rsid w:val="00926E53"/>
    <w:rsid w:val="00B23C28"/>
    <w:rsid w:val="00B306DE"/>
    <w:rsid w:val="00B835DA"/>
    <w:rsid w:val="00C2044E"/>
    <w:rsid w:val="00C21964"/>
    <w:rsid w:val="00C348C9"/>
    <w:rsid w:val="00C72B51"/>
    <w:rsid w:val="00CA4829"/>
    <w:rsid w:val="00DE66AE"/>
    <w:rsid w:val="00E83D09"/>
    <w:rsid w:val="00EC66CC"/>
    <w:rsid w:val="010C4C60"/>
    <w:rsid w:val="023766E8"/>
    <w:rsid w:val="05BB1AFC"/>
    <w:rsid w:val="08283986"/>
    <w:rsid w:val="0B76595C"/>
    <w:rsid w:val="0D8D044E"/>
    <w:rsid w:val="0E906F7F"/>
    <w:rsid w:val="0EB530D1"/>
    <w:rsid w:val="103D24BF"/>
    <w:rsid w:val="10E07B77"/>
    <w:rsid w:val="12995054"/>
    <w:rsid w:val="12C96DC0"/>
    <w:rsid w:val="12E35ABD"/>
    <w:rsid w:val="14217A56"/>
    <w:rsid w:val="17535EFC"/>
    <w:rsid w:val="190D6E5A"/>
    <w:rsid w:val="1A835877"/>
    <w:rsid w:val="2001473F"/>
    <w:rsid w:val="213870FD"/>
    <w:rsid w:val="227B5CF8"/>
    <w:rsid w:val="24267006"/>
    <w:rsid w:val="24E74C96"/>
    <w:rsid w:val="25C76E5D"/>
    <w:rsid w:val="268526BC"/>
    <w:rsid w:val="26FE5E75"/>
    <w:rsid w:val="27AE0BCE"/>
    <w:rsid w:val="2A1A6396"/>
    <w:rsid w:val="2AC57E5F"/>
    <w:rsid w:val="2E926A6C"/>
    <w:rsid w:val="2FB66C93"/>
    <w:rsid w:val="2FD28EAB"/>
    <w:rsid w:val="32714E95"/>
    <w:rsid w:val="32AB34DC"/>
    <w:rsid w:val="333136FF"/>
    <w:rsid w:val="33357FEF"/>
    <w:rsid w:val="345121BE"/>
    <w:rsid w:val="36B437F3"/>
    <w:rsid w:val="38A31E2B"/>
    <w:rsid w:val="39374A7E"/>
    <w:rsid w:val="39433C08"/>
    <w:rsid w:val="397E4A59"/>
    <w:rsid w:val="3BB5750F"/>
    <w:rsid w:val="3C181CD4"/>
    <w:rsid w:val="3EC43E0C"/>
    <w:rsid w:val="3FEB3454"/>
    <w:rsid w:val="40B60F58"/>
    <w:rsid w:val="417543ED"/>
    <w:rsid w:val="419356FF"/>
    <w:rsid w:val="4316113C"/>
    <w:rsid w:val="46D433B0"/>
    <w:rsid w:val="47A86473"/>
    <w:rsid w:val="48051E48"/>
    <w:rsid w:val="48B320A9"/>
    <w:rsid w:val="4A287154"/>
    <w:rsid w:val="4E2B0D5F"/>
    <w:rsid w:val="4EA34E87"/>
    <w:rsid w:val="4EFF256A"/>
    <w:rsid w:val="50050162"/>
    <w:rsid w:val="50F60FDF"/>
    <w:rsid w:val="536062AA"/>
    <w:rsid w:val="54EB360A"/>
    <w:rsid w:val="554B0DF2"/>
    <w:rsid w:val="55C936A3"/>
    <w:rsid w:val="5A236961"/>
    <w:rsid w:val="5A347214"/>
    <w:rsid w:val="5A571812"/>
    <w:rsid w:val="5ADF16D1"/>
    <w:rsid w:val="5B6C5D48"/>
    <w:rsid w:val="5D4A323D"/>
    <w:rsid w:val="5D5A58CC"/>
    <w:rsid w:val="5D720F12"/>
    <w:rsid w:val="5DBDA10B"/>
    <w:rsid w:val="5EFDC016"/>
    <w:rsid w:val="5F535225"/>
    <w:rsid w:val="5FF5639C"/>
    <w:rsid w:val="62A50182"/>
    <w:rsid w:val="63C86108"/>
    <w:rsid w:val="63E7333A"/>
    <w:rsid w:val="65303751"/>
    <w:rsid w:val="65FF272B"/>
    <w:rsid w:val="69125CEE"/>
    <w:rsid w:val="695706BC"/>
    <w:rsid w:val="6F2F56B7"/>
    <w:rsid w:val="6FED3029"/>
    <w:rsid w:val="6FEF4494"/>
    <w:rsid w:val="715619A3"/>
    <w:rsid w:val="730E4E50"/>
    <w:rsid w:val="73892BE6"/>
    <w:rsid w:val="74FE62DE"/>
    <w:rsid w:val="754B0E9E"/>
    <w:rsid w:val="763A2648"/>
    <w:rsid w:val="77385865"/>
    <w:rsid w:val="794C4FE3"/>
    <w:rsid w:val="7B3E886B"/>
    <w:rsid w:val="7EA97BFA"/>
    <w:rsid w:val="7FDBD456"/>
    <w:rsid w:val="AF5F0D43"/>
    <w:rsid w:val="B7CEB822"/>
    <w:rsid w:val="BF3AE47D"/>
    <w:rsid w:val="BFFFFE54"/>
    <w:rsid w:val="D3E65C47"/>
    <w:rsid w:val="E6ED988C"/>
    <w:rsid w:val="E774DC7A"/>
    <w:rsid w:val="EE5EFD93"/>
    <w:rsid w:val="FBFF25EB"/>
    <w:rsid w:val="FDF7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Times New Roman"/>
      <w:sz w:val="24"/>
      <w:szCs w:val="24"/>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b/>
      <w:kern w:val="44"/>
      <w:sz w:val="48"/>
      <w:szCs w:val="48"/>
    </w:rPr>
  </w:style>
  <w:style w:type="paragraph" w:styleId="3">
    <w:name w:val="heading 2"/>
    <w:basedOn w:val="1"/>
    <w:next w:val="1"/>
    <w:qFormat/>
    <w:uiPriority w:val="9"/>
    <w:pPr>
      <w:spacing w:before="100" w:beforeAutospacing="1" w:after="100" w:afterAutospacing="1"/>
      <w:outlineLvl w:val="1"/>
    </w:pPr>
    <w:rPr>
      <w:rFonts w:hint="eastAsia"/>
      <w:b/>
      <w:sz w:val="36"/>
      <w:szCs w:val="36"/>
    </w:rPr>
  </w:style>
  <w:style w:type="paragraph" w:styleId="4">
    <w:name w:val="heading 3"/>
    <w:basedOn w:val="1"/>
    <w:next w:val="1"/>
    <w:qFormat/>
    <w:uiPriority w:val="9"/>
    <w:pPr>
      <w:spacing w:before="100" w:beforeAutospacing="1" w:after="100" w:afterAutospacing="1"/>
      <w:outlineLvl w:val="2"/>
    </w:pPr>
    <w:rPr>
      <w:rFonts w:hint="eastAsia"/>
      <w:b/>
      <w:sz w:val="27"/>
      <w:szCs w:val="27"/>
    </w:rPr>
  </w:style>
  <w:style w:type="paragraph" w:styleId="5">
    <w:name w:val="heading 4"/>
    <w:basedOn w:val="1"/>
    <w:next w:val="1"/>
    <w:qFormat/>
    <w:uiPriority w:val="9"/>
    <w:pPr>
      <w:spacing w:before="100" w:beforeAutospacing="1" w:after="100" w:afterAutospacing="1"/>
      <w:outlineLvl w:val="3"/>
    </w:pPr>
    <w:rPr>
      <w:rFonts w:hint="eastAsia"/>
      <w:b/>
    </w:rPr>
  </w:style>
  <w:style w:type="paragraph" w:styleId="6">
    <w:name w:val="heading 5"/>
    <w:basedOn w:val="1"/>
    <w:next w:val="1"/>
    <w:qFormat/>
    <w:uiPriority w:val="9"/>
    <w:pPr>
      <w:spacing w:before="100" w:beforeAutospacing="1" w:after="100" w:afterAutospacing="1"/>
      <w:outlineLvl w:val="4"/>
    </w:pPr>
    <w:rPr>
      <w:rFonts w:hint="eastAsia"/>
      <w:b/>
      <w:sz w:val="20"/>
      <w:szCs w:val="20"/>
    </w:rPr>
  </w:style>
  <w:style w:type="paragraph" w:styleId="7">
    <w:name w:val="heading 6"/>
    <w:basedOn w:val="1"/>
    <w:next w:val="1"/>
    <w:qFormat/>
    <w:uiPriority w:val="9"/>
    <w:pPr>
      <w:spacing w:before="100" w:beforeAutospacing="1" w:after="100" w:afterAutospacing="1"/>
      <w:outlineLvl w:val="5"/>
    </w:pPr>
    <w:rPr>
      <w:rFonts w:hint="eastAsia"/>
      <w:b/>
      <w:sz w:val="15"/>
      <w:szCs w:val="15"/>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footer"/>
    <w:basedOn w:val="1"/>
    <w:unhideWhenUsed/>
    <w:qFormat/>
    <w:uiPriority w:val="99"/>
    <w:pPr>
      <w:tabs>
        <w:tab w:val="center" w:pos="4153"/>
        <w:tab w:val="right" w:pos="8306"/>
      </w:tabs>
      <w:snapToGrid w:val="0"/>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rPr>
  </w:style>
  <w:style w:type="paragraph" w:styleId="13">
    <w:name w:val="Normal (Web)"/>
    <w:basedOn w:val="1"/>
    <w:unhideWhenUsed/>
    <w:qFormat/>
    <w:uiPriority w:val="99"/>
    <w:pPr>
      <w:spacing w:before="100" w:beforeAutospacing="1" w:after="100" w:afterAutospacing="1"/>
    </w:pPr>
  </w:style>
  <w:style w:type="character" w:styleId="16">
    <w:name w:val="Strong"/>
    <w:basedOn w:val="15"/>
    <w:qFormat/>
    <w:uiPriority w:val="22"/>
    <w:rPr>
      <w:b/>
    </w:rPr>
  </w:style>
  <w:style w:type="character" w:styleId="17">
    <w:name w:val="FollowedHyperlink"/>
    <w:basedOn w:val="15"/>
    <w:semiHidden/>
    <w:unhideWhenUsed/>
    <w:qFormat/>
    <w:uiPriority w:val="99"/>
    <w:rPr>
      <w:color w:val="800080"/>
      <w:u w:val="single"/>
    </w:rPr>
  </w:style>
  <w:style w:type="character" w:styleId="18">
    <w:name w:val="Emphasis"/>
    <w:basedOn w:val="15"/>
    <w:qFormat/>
    <w:uiPriority w:val="20"/>
    <w:rPr>
      <w:i/>
    </w:rPr>
  </w:style>
  <w:style w:type="character" w:styleId="19">
    <w:name w:val="Hyperlink"/>
    <w:basedOn w:val="15"/>
    <w:semiHidden/>
    <w:unhideWhenUsed/>
    <w:qFormat/>
    <w:uiPriority w:val="99"/>
    <w:rPr>
      <w:color w:val="0000FF"/>
      <w:u w:val="single"/>
    </w:rPr>
  </w:style>
  <w:style w:type="character" w:customStyle="1" w:styleId="20">
    <w:name w:val="bsharetext"/>
    <w:basedOn w:val="15"/>
    <w:qFormat/>
    <w:uiPriority w:val="0"/>
  </w:style>
  <w:style w:type="character" w:customStyle="1" w:styleId="21">
    <w:name w:val="p12_blue"/>
    <w:basedOn w:val="15"/>
    <w:qFormat/>
    <w:uiPriority w:val="0"/>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分类号"/>
    <w:basedOn w:val="1"/>
    <w:qFormat/>
    <w:uiPriority w:val="0"/>
    <w:pPr>
      <w:widowControl w:val="0"/>
      <w:jc w:val="both"/>
    </w:pPr>
    <w:rPr>
      <w:rFonts w:ascii="仿宋_GB2312" w:hAnsi="Times New Roman" w:eastAsia="仿宋_GB2312"/>
      <w:kern w:val="2"/>
      <w:sz w:val="28"/>
      <w:szCs w:val="28"/>
    </w:rPr>
  </w:style>
  <w:style w:type="paragraph" w:customStyle="1" w:styleId="24">
    <w:name w:val="封面日期"/>
    <w:basedOn w:val="1"/>
    <w:qFormat/>
    <w:uiPriority w:val="0"/>
    <w:pPr>
      <w:widowControl w:val="0"/>
      <w:jc w:val="center"/>
    </w:pPr>
    <w:rPr>
      <w:rFonts w:ascii="黑体" w:hAnsi="Times New Roman" w:eastAsia="黑体"/>
      <w:kern w:val="2"/>
      <w:sz w:val="32"/>
      <w:szCs w:val="32"/>
    </w:rPr>
  </w:style>
  <w:style w:type="paragraph" w:customStyle="1" w:styleId="25">
    <w:name w:val="论文标题"/>
    <w:basedOn w:val="1"/>
    <w:qFormat/>
    <w:uiPriority w:val="0"/>
    <w:pPr>
      <w:widowControl w:val="0"/>
      <w:jc w:val="center"/>
    </w:pPr>
    <w:rPr>
      <w:rFonts w:ascii="Times New Roman" w:hAnsi="Times New Roman" w:eastAsia="楷体_GB2312"/>
      <w:b/>
      <w:kern w:val="36"/>
      <w:sz w:val="52"/>
      <w:szCs w:val="52"/>
    </w:rPr>
  </w:style>
  <w:style w:type="paragraph" w:customStyle="1" w:styleId="26">
    <w:name w:val="普通(网站)1"/>
    <w:basedOn w:val="1"/>
    <w:qFormat/>
    <w:uiPriority w:val="0"/>
    <w:pPr>
      <w:spacing w:before="100" w:beforeAutospacing="1" w:after="100" w:afterAutospacing="1"/>
    </w:p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硕士学位论文"/>
    <w:basedOn w:val="1"/>
    <w:qFormat/>
    <w:uiPriority w:val="0"/>
    <w:pPr>
      <w:widowControl w:val="0"/>
      <w:spacing w:before="240"/>
      <w:jc w:val="center"/>
    </w:pPr>
    <w:rPr>
      <w:rFonts w:ascii="Times New Roman" w:hAnsi="Times New Roman"/>
      <w:kern w:val="2"/>
      <w:sz w:val="44"/>
      <w:szCs w:val="44"/>
    </w:rPr>
  </w:style>
  <w:style w:type="paragraph" w:customStyle="1" w:styleId="29">
    <w:name w:val="研究生姓名"/>
    <w:basedOn w:val="1"/>
    <w:qFormat/>
    <w:uiPriority w:val="0"/>
    <w:pPr>
      <w:widowControl w:val="0"/>
      <w:ind w:firstLine="700" w:firstLineChars="700"/>
      <w:jc w:val="both"/>
    </w:pPr>
    <w:rPr>
      <w:rFonts w:ascii="Times New Roman" w:hAnsi="Times New Roman"/>
      <w:kern w:val="2"/>
      <w:sz w:val="28"/>
      <w:szCs w:val="28"/>
    </w:rPr>
  </w:style>
  <w:style w:type="paragraph" w:customStyle="1" w:styleId="3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31">
    <w:name w:val="xl65"/>
    <w:basedOn w:val="1"/>
    <w:qFormat/>
    <w:uiPriority w:val="0"/>
    <w:pPr>
      <w:shd w:val="clear" w:color="000000" w:fill="FFFFFF"/>
      <w:spacing w:before="100" w:beforeAutospacing="1" w:after="100" w:afterAutospacing="1"/>
      <w:textAlignment w:val="center"/>
    </w:pPr>
    <w:rPr>
      <w:rFonts w:cs="宋体"/>
      <w:sz w:val="18"/>
      <w:szCs w:val="18"/>
    </w:rPr>
  </w:style>
  <w:style w:type="paragraph" w:customStyle="1" w:styleId="32">
    <w:name w:val="xl66"/>
    <w:basedOn w:val="1"/>
    <w:qFormat/>
    <w:uiPriority w:val="0"/>
    <w:pPr>
      <w:pBdr>
        <w:right w:val="single" w:color="808080" w:sz="4" w:space="0"/>
      </w:pBdr>
      <w:shd w:val="clear" w:color="000000" w:fill="FFFFFF"/>
      <w:spacing w:before="100" w:beforeAutospacing="1" w:after="100" w:afterAutospacing="1"/>
      <w:jc w:val="right"/>
      <w:textAlignment w:val="center"/>
    </w:pPr>
    <w:rPr>
      <w:rFonts w:cs="宋体"/>
      <w:color w:val="000000"/>
      <w:sz w:val="22"/>
      <w:szCs w:val="22"/>
    </w:rPr>
  </w:style>
  <w:style w:type="paragraph" w:customStyle="1" w:styleId="33">
    <w:name w:val="xl67"/>
    <w:basedOn w:val="1"/>
    <w:qFormat/>
    <w:uiPriority w:val="0"/>
    <w:pPr>
      <w:pBdr>
        <w:bottom w:val="single" w:color="808080" w:sz="4" w:space="0"/>
      </w:pBdr>
      <w:shd w:val="clear" w:color="000000" w:fill="FFFFFF"/>
      <w:spacing w:before="100" w:beforeAutospacing="1" w:after="100" w:afterAutospacing="1"/>
      <w:textAlignment w:val="center"/>
    </w:pPr>
    <w:rPr>
      <w:rFonts w:cs="宋体"/>
      <w:color w:val="000000"/>
      <w:sz w:val="22"/>
      <w:szCs w:val="22"/>
    </w:rPr>
  </w:style>
  <w:style w:type="paragraph" w:customStyle="1" w:styleId="34">
    <w:name w:val="xl68"/>
    <w:basedOn w:val="1"/>
    <w:qFormat/>
    <w:uiPriority w:val="0"/>
    <w:pPr>
      <w:pBdr>
        <w:bottom w:val="single" w:color="808080" w:sz="4" w:space="0"/>
      </w:pBdr>
      <w:shd w:val="clear" w:color="000000" w:fill="FFFFFF"/>
      <w:spacing w:before="100" w:beforeAutospacing="1" w:after="100" w:afterAutospacing="1"/>
      <w:textAlignment w:val="center"/>
    </w:pPr>
    <w:rPr>
      <w:rFonts w:cs="宋体"/>
      <w:sz w:val="18"/>
      <w:szCs w:val="18"/>
    </w:rPr>
  </w:style>
  <w:style w:type="paragraph" w:customStyle="1" w:styleId="35">
    <w:name w:val="xl69"/>
    <w:basedOn w:val="1"/>
    <w:qFormat/>
    <w:uiPriority w:val="0"/>
    <w:pPr>
      <w:pBdr>
        <w:bottom w:val="single" w:color="808080" w:sz="4" w:space="0"/>
        <w:right w:val="single" w:color="808080" w:sz="4" w:space="0"/>
      </w:pBdr>
      <w:shd w:val="clear" w:color="000000" w:fill="FFFFFF"/>
      <w:spacing w:before="100" w:beforeAutospacing="1" w:after="100" w:afterAutospacing="1"/>
      <w:jc w:val="right"/>
      <w:textAlignment w:val="center"/>
    </w:pPr>
    <w:rPr>
      <w:rFonts w:cs="宋体"/>
      <w:color w:val="000000"/>
      <w:sz w:val="22"/>
      <w:szCs w:val="22"/>
    </w:rPr>
  </w:style>
  <w:style w:type="paragraph" w:customStyle="1" w:styleId="36">
    <w:name w:val="xl70"/>
    <w:basedOn w:val="1"/>
    <w:qFormat/>
    <w:uiPriority w:val="0"/>
    <w:pPr>
      <w:pBdr>
        <w:bottom w:val="single" w:color="000000" w:sz="4" w:space="0"/>
        <w:right w:val="single" w:color="000000" w:sz="4" w:space="0"/>
      </w:pBdr>
      <w:shd w:val="clear" w:color="000000" w:fill="FFFFFF"/>
      <w:spacing w:before="100" w:beforeAutospacing="1" w:after="100" w:afterAutospacing="1"/>
      <w:jc w:val="right"/>
      <w:textAlignment w:val="center"/>
    </w:pPr>
    <w:rPr>
      <w:rFonts w:cs="宋体"/>
    </w:rPr>
  </w:style>
  <w:style w:type="paragraph" w:customStyle="1" w:styleId="37">
    <w:name w:val="xl71"/>
    <w:basedOn w:val="1"/>
    <w:qFormat/>
    <w:uiPriority w:val="0"/>
    <w:pPr>
      <w:pBdr>
        <w:bottom w:val="single" w:color="808080" w:sz="4" w:space="0"/>
      </w:pBdr>
      <w:shd w:val="clear" w:color="000000" w:fill="FFFFFF"/>
      <w:spacing w:before="100" w:beforeAutospacing="1" w:after="100" w:afterAutospacing="1"/>
      <w:jc w:val="center"/>
      <w:textAlignment w:val="center"/>
    </w:pPr>
    <w:rPr>
      <w:rFonts w:cs="宋体"/>
      <w:color w:val="000000"/>
      <w:sz w:val="22"/>
      <w:szCs w:val="22"/>
    </w:rPr>
  </w:style>
  <w:style w:type="paragraph" w:customStyle="1" w:styleId="38">
    <w:name w:val="xl72"/>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39">
    <w:name w:val="xl73"/>
    <w:basedOn w:val="1"/>
    <w:qFormat/>
    <w:uiPriority w:val="0"/>
    <w:pPr>
      <w:pBdr>
        <w:bottom w:val="single" w:color="000000" w:sz="4" w:space="0"/>
        <w:right w:val="single" w:color="000000" w:sz="4" w:space="0"/>
      </w:pBdr>
      <w:shd w:val="clear" w:color="000000" w:fill="FFFFFF"/>
      <w:spacing w:before="100" w:beforeAutospacing="1" w:after="100" w:afterAutospacing="1"/>
      <w:jc w:val="right"/>
      <w:textAlignment w:val="center"/>
    </w:pPr>
    <w:rPr>
      <w:rFonts w:cs="宋体"/>
      <w:b/>
      <w:bCs/>
    </w:rPr>
  </w:style>
  <w:style w:type="paragraph" w:customStyle="1" w:styleId="40">
    <w:name w:val="xl74"/>
    <w:basedOn w:val="1"/>
    <w:qFormat/>
    <w:uiPriority w:val="0"/>
    <w:pPr>
      <w:pBdr>
        <w:bottom w:val="single" w:color="000000" w:sz="4" w:space="0"/>
        <w:right w:val="single" w:color="000000" w:sz="4" w:space="0"/>
      </w:pBdr>
      <w:shd w:val="clear" w:color="000000" w:fill="C0C0C0"/>
      <w:spacing w:before="100" w:beforeAutospacing="1" w:after="100" w:afterAutospacing="1"/>
      <w:textAlignment w:val="center"/>
    </w:pPr>
    <w:rPr>
      <w:rFonts w:cs="宋体"/>
      <w:b/>
      <w:bCs/>
    </w:rPr>
  </w:style>
  <w:style w:type="paragraph" w:customStyle="1" w:styleId="41">
    <w:name w:val="xl75"/>
    <w:basedOn w:val="1"/>
    <w:qFormat/>
    <w:uiPriority w:val="0"/>
    <w:pPr>
      <w:pBdr>
        <w:bottom w:val="single" w:color="000000" w:sz="4" w:space="0"/>
        <w:right w:val="single" w:color="000000" w:sz="4" w:space="0"/>
      </w:pBdr>
      <w:shd w:val="clear" w:color="000000" w:fill="C0C0C0"/>
      <w:spacing w:before="100" w:beforeAutospacing="1" w:after="100" w:afterAutospacing="1"/>
      <w:jc w:val="right"/>
      <w:textAlignment w:val="center"/>
    </w:pPr>
    <w:rPr>
      <w:rFonts w:cs="宋体"/>
      <w:b/>
      <w:bCs/>
    </w:rPr>
  </w:style>
  <w:style w:type="paragraph" w:customStyle="1" w:styleId="42">
    <w:name w:val="xl76"/>
    <w:basedOn w:val="1"/>
    <w:qFormat/>
    <w:uiPriority w:val="0"/>
    <w:pPr>
      <w:pBdr>
        <w:bottom w:val="single" w:color="000000" w:sz="4" w:space="0"/>
        <w:right w:val="single" w:color="000000" w:sz="4" w:space="0"/>
      </w:pBdr>
      <w:shd w:val="clear" w:color="000000" w:fill="C0C0C0"/>
      <w:spacing w:before="100" w:beforeAutospacing="1" w:after="100" w:afterAutospacing="1"/>
      <w:textAlignment w:val="center"/>
    </w:pPr>
    <w:rPr>
      <w:rFonts w:cs="宋体"/>
      <w:b/>
      <w:bCs/>
      <w:sz w:val="18"/>
      <w:szCs w:val="18"/>
    </w:rPr>
  </w:style>
  <w:style w:type="paragraph" w:customStyle="1" w:styleId="43">
    <w:name w:val="xl77"/>
    <w:basedOn w:val="1"/>
    <w:qFormat/>
    <w:uiPriority w:val="0"/>
    <w:pPr>
      <w:pBdr>
        <w:bottom w:val="single" w:color="000000" w:sz="4" w:space="0"/>
        <w:right w:val="single" w:color="000000" w:sz="4" w:space="0"/>
      </w:pBdr>
      <w:shd w:val="clear" w:color="000000" w:fill="CCFFFF"/>
      <w:spacing w:before="100" w:beforeAutospacing="1" w:after="100" w:afterAutospacing="1"/>
      <w:textAlignment w:val="center"/>
    </w:pPr>
    <w:rPr>
      <w:rFonts w:cs="宋体"/>
    </w:rPr>
  </w:style>
  <w:style w:type="paragraph" w:customStyle="1" w:styleId="44">
    <w:name w:val="xl78"/>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textAlignment w:val="center"/>
    </w:pPr>
    <w:rPr>
      <w:rFonts w:cs="宋体"/>
    </w:rPr>
  </w:style>
  <w:style w:type="paragraph" w:customStyle="1" w:styleId="45">
    <w:name w:val="xl79"/>
    <w:basedOn w:val="1"/>
    <w:qFormat/>
    <w:uiPriority w:val="0"/>
    <w:pPr>
      <w:pBdr>
        <w:bottom w:val="single" w:color="000000" w:sz="4" w:space="0"/>
        <w:right w:val="single" w:color="000000" w:sz="4" w:space="0"/>
      </w:pBdr>
      <w:spacing w:before="100" w:beforeAutospacing="1" w:after="100" w:afterAutospacing="1"/>
      <w:textAlignment w:val="center"/>
    </w:pPr>
    <w:rPr>
      <w:rFonts w:cs="宋体"/>
    </w:rPr>
  </w:style>
  <w:style w:type="paragraph" w:customStyle="1" w:styleId="46">
    <w:name w:val="xl80"/>
    <w:basedOn w:val="1"/>
    <w:qFormat/>
    <w:uiPriority w:val="0"/>
    <w:pPr>
      <w:pBdr>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47">
    <w:name w:val="xl81"/>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48">
    <w:name w:val="xl82"/>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49">
    <w:name w:val="xl83"/>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50">
    <w:name w:val="xl84"/>
    <w:basedOn w:val="1"/>
    <w:qFormat/>
    <w:uiPriority w:val="0"/>
    <w:pPr>
      <w:pBdr>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51">
    <w:name w:val="xl85"/>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52">
    <w:name w:val="xl86"/>
    <w:basedOn w:val="1"/>
    <w:qFormat/>
    <w:uiPriority w:val="0"/>
    <w:pPr>
      <w:pBdr>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53">
    <w:name w:val="xl87"/>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textAlignment w:val="center"/>
    </w:pPr>
    <w:rPr>
      <w:rFonts w:cs="宋体"/>
      <w:b/>
      <w:bCs/>
    </w:rPr>
  </w:style>
  <w:style w:type="paragraph" w:customStyle="1" w:styleId="54">
    <w:name w:val="xl88"/>
    <w:basedOn w:val="1"/>
    <w:qFormat/>
    <w:uiPriority w:val="0"/>
    <w:pPr>
      <w:pBdr>
        <w:bottom w:val="single" w:color="000000" w:sz="4" w:space="0"/>
        <w:right w:val="single" w:color="000000" w:sz="4" w:space="0"/>
      </w:pBdr>
      <w:spacing w:before="100" w:beforeAutospacing="1" w:after="100" w:afterAutospacing="1"/>
      <w:textAlignment w:val="center"/>
    </w:pPr>
    <w:rPr>
      <w:rFonts w:cs="宋体"/>
    </w:rPr>
  </w:style>
  <w:style w:type="paragraph" w:customStyle="1" w:styleId="55">
    <w:name w:val="xl89"/>
    <w:basedOn w:val="1"/>
    <w:qFormat/>
    <w:uiPriority w:val="0"/>
    <w:pPr>
      <w:pBdr>
        <w:left w:val="single" w:color="000000" w:sz="4" w:space="0"/>
        <w:bottom w:val="single" w:color="000000" w:sz="4" w:space="0"/>
        <w:right w:val="single" w:color="000000" w:sz="4" w:space="0"/>
      </w:pBdr>
      <w:shd w:val="clear" w:color="000000" w:fill="FFFFFF"/>
      <w:spacing w:before="100" w:beforeAutospacing="1" w:after="100" w:afterAutospacing="1"/>
      <w:textAlignment w:val="center"/>
    </w:pPr>
    <w:rPr>
      <w:rFonts w:cs="宋体"/>
    </w:rPr>
  </w:style>
  <w:style w:type="paragraph" w:customStyle="1" w:styleId="56">
    <w:name w:val="xl90"/>
    <w:basedOn w:val="1"/>
    <w:qFormat/>
    <w:uiPriority w:val="0"/>
    <w:pPr>
      <w:shd w:val="clear" w:color="000000" w:fill="FFFFFF"/>
      <w:spacing w:before="100" w:beforeAutospacing="1" w:after="100" w:afterAutospacing="1"/>
      <w:textAlignment w:val="center"/>
    </w:pPr>
    <w:rPr>
      <w:rFonts w:cs="宋体"/>
    </w:rPr>
  </w:style>
  <w:style w:type="paragraph" w:customStyle="1" w:styleId="57">
    <w:name w:val="xl91"/>
    <w:basedOn w:val="1"/>
    <w:qFormat/>
    <w:uiPriority w:val="0"/>
    <w:pPr>
      <w:spacing w:before="100" w:beforeAutospacing="1" w:after="100" w:afterAutospacing="1"/>
      <w:textAlignment w:val="center"/>
    </w:pPr>
    <w:rPr>
      <w:rFonts w:cs="宋体"/>
    </w:rPr>
  </w:style>
  <w:style w:type="character" w:customStyle="1" w:styleId="58">
    <w:name w:val="normal__char1"/>
    <w:basedOn w:val="15"/>
    <w:qFormat/>
    <w:uiPriority w:val="0"/>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8538</Words>
  <Characters>11458</Characters>
  <Lines>175</Lines>
  <Paragraphs>49</Paragraphs>
  <TotalTime>7</TotalTime>
  <ScaleCrop>false</ScaleCrop>
  <LinksUpToDate>false</LinksUpToDate>
  <CharactersWithSpaces>11705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2021-08-20T16:42:00Z</dcterms:created>
  <dc:creator>xiaofei li</dc:creator>
  <cp:lastModifiedBy>xiaoli</cp:lastModifiedBy>
  <cp:lastPrinted>2021-09-18T17:28:00Z</cp:lastPrinted>
  <dcterms:modified xsi:type="dcterms:W3CDTF">2022-09-23T11:57:56Z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582F56CBB23245C5B753077692CF1B28</vt:lpwstr>
  </property>
</Properties>
</file>