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rPr>
      </w:pPr>
      <w:r>
        <w:rPr>
          <w:rFonts w:cs="宋体"/>
          <w:b/>
          <w:bCs/>
          <w:sz w:val="44"/>
          <w:szCs w:val="44"/>
          <w:shd w:val="clear" w:color="auto" w:fill="FFFFFF"/>
        </w:rPr>
        <w:t>2020</w:t>
      </w:r>
      <w:r>
        <w:rPr>
          <w:rFonts w:hint="eastAsia" w:cs="宋体"/>
          <w:b/>
          <w:bCs/>
          <w:sz w:val="44"/>
          <w:szCs w:val="44"/>
          <w:shd w:val="clear" w:color="auto" w:fill="FFFFFF"/>
        </w:rPr>
        <w:t>年度</w:t>
      </w:r>
    </w:p>
    <w:p>
      <w:pPr>
        <w:pStyle w:val="13"/>
        <w:spacing w:before="0" w:beforeAutospacing="0"/>
        <w:jc w:val="center"/>
        <w:rPr>
          <w:shd w:val="clear" w:color="auto" w:fill="FFFFFF"/>
        </w:rPr>
      </w:pPr>
      <w:r>
        <w:rPr>
          <w:rFonts w:hint="eastAsia" w:cs="宋体"/>
          <w:b/>
          <w:bCs/>
          <w:sz w:val="44"/>
          <w:szCs w:val="44"/>
          <w:shd w:val="clear" w:color="auto" w:fill="FFFFFF"/>
        </w:rPr>
        <w:t>涟源市人民检察院部门决算</w:t>
      </w:r>
    </w:p>
    <w:p>
      <w:pPr>
        <w:pStyle w:val="13"/>
        <w:spacing w:before="0" w:beforeAutospacing="0"/>
        <w:jc w:val="center"/>
        <w:rPr>
          <w:shd w:val="clear" w:color="auto" w:fill="FFFFFF"/>
        </w:rPr>
      </w:pPr>
    </w:p>
    <w:p>
      <w:pPr>
        <w:pStyle w:val="13"/>
        <w:adjustRightInd w:val="0"/>
        <w:snapToGrid w:val="0"/>
        <w:spacing w:before="0" w:beforeAutospacing="0" w:line="580" w:lineRule="exact"/>
        <w:jc w:val="center"/>
        <w:rPr>
          <w:b/>
          <w:bCs/>
          <w:sz w:val="32"/>
          <w:szCs w:val="32"/>
          <w:shd w:val="clear" w:color="auto" w:fill="FFFFFF"/>
        </w:rPr>
      </w:pPr>
    </w:p>
    <w:p>
      <w:pPr>
        <w:pStyle w:val="13"/>
        <w:adjustRightInd w:val="0"/>
        <w:snapToGrid w:val="0"/>
        <w:spacing w:before="0" w:beforeAutospacing="0" w:line="580" w:lineRule="exact"/>
        <w:jc w:val="center"/>
        <w:rPr>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15" w:h="16851"/>
          <w:pgMar w:top="1440" w:right="1800" w:bottom="1440" w:left="1800" w:header="851" w:footer="992" w:gutter="0"/>
          <w:cols w:space="720" w:num="1"/>
          <w:docGrid w:type="lines" w:linePitch="312" w:charSpace="0"/>
        </w:sectPr>
      </w:pPr>
    </w:p>
    <w:p>
      <w:pPr>
        <w:pStyle w:val="39"/>
        <w:snapToGrid w:val="0"/>
        <w:spacing w:line="580" w:lineRule="exact"/>
        <w:jc w:val="center"/>
        <w:rPr>
          <w:sz w:val="36"/>
          <w:szCs w:val="28"/>
        </w:rPr>
      </w:pPr>
      <w:r>
        <w:rPr>
          <w:rFonts w:hint="eastAsia"/>
          <w:sz w:val="36"/>
          <w:szCs w:val="28"/>
        </w:rPr>
        <w:t>目录</w:t>
      </w:r>
    </w:p>
    <w:p>
      <w:pPr>
        <w:pStyle w:val="39"/>
        <w:snapToGrid w:val="0"/>
        <w:spacing w:line="580" w:lineRule="exact"/>
        <w:ind w:firstLine="560" w:firstLineChars="200"/>
        <w:rPr>
          <w:rFonts w:ascii="仿宋_GB2312" w:eastAsia="仿宋_GB2312" w:cs="仿宋_GB2312"/>
          <w:sz w:val="28"/>
          <w:szCs w:val="28"/>
        </w:rPr>
      </w:pPr>
      <w:r>
        <w:rPr>
          <w:rFonts w:hint="eastAsia"/>
          <w:sz w:val="28"/>
          <w:szCs w:val="28"/>
        </w:rPr>
        <w:t>第一部分湖南省人民检察院概况</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一、部门职责</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二、机构设置</w:t>
      </w:r>
    </w:p>
    <w:p>
      <w:pPr>
        <w:pStyle w:val="39"/>
        <w:snapToGrid w:val="0"/>
        <w:spacing w:line="580" w:lineRule="exact"/>
        <w:ind w:firstLine="560" w:firstLineChars="200"/>
        <w:rPr>
          <w:rFonts w:ascii="仿宋_GB2312" w:eastAsia="仿宋_GB2312" w:cs="仿宋_GB2312"/>
          <w:sz w:val="28"/>
          <w:szCs w:val="28"/>
        </w:rPr>
      </w:pPr>
      <w:r>
        <w:rPr>
          <w:rFonts w:hint="eastAsia" w:hAnsi="仿宋_GB2312"/>
          <w:sz w:val="28"/>
          <w:szCs w:val="28"/>
        </w:rPr>
        <w:t>第二部分</w:t>
      </w:r>
      <w:r>
        <w:rPr>
          <w:rFonts w:hAnsi="仿宋_GB2312"/>
          <w:sz w:val="28"/>
          <w:szCs w:val="28"/>
        </w:rPr>
        <w:t>2020</w:t>
      </w:r>
      <w:r>
        <w:rPr>
          <w:rFonts w:hint="eastAsia" w:hAnsi="仿宋_GB2312"/>
          <w:sz w:val="28"/>
          <w:szCs w:val="28"/>
        </w:rPr>
        <w:t>年度部门决算表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一、收入支出决算总表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二、收入决算表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三、支出决算表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四、财政拨款收入支出决算总表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五、一般公共预算财政拨款支出决算表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六、一般公共预算财政拨款基本支出决算表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七、一般公共预算财政拨款“三公”经费支出决算表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八、政府性基金预算财政拨款收入支出决算表</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九、国有资本经营预算财政拨款支出决算表</w:t>
      </w:r>
    </w:p>
    <w:p>
      <w:pPr>
        <w:pStyle w:val="39"/>
        <w:snapToGrid w:val="0"/>
        <w:spacing w:line="580" w:lineRule="exact"/>
        <w:ind w:firstLine="560" w:firstLineChars="200"/>
        <w:rPr>
          <w:rFonts w:ascii="仿宋_GB2312" w:eastAsia="仿宋_GB2312" w:cs="仿宋_GB2312"/>
          <w:sz w:val="28"/>
          <w:szCs w:val="28"/>
        </w:rPr>
      </w:pPr>
      <w:r>
        <w:rPr>
          <w:rFonts w:hint="eastAsia" w:hAnsi="仿宋_GB2312"/>
          <w:sz w:val="28"/>
          <w:szCs w:val="28"/>
        </w:rPr>
        <w:t>第三部分</w:t>
      </w:r>
      <w:r>
        <w:rPr>
          <w:rFonts w:hAnsi="仿宋_GB2312"/>
          <w:sz w:val="28"/>
          <w:szCs w:val="28"/>
        </w:rPr>
        <w:t>2020</w:t>
      </w:r>
      <w:r>
        <w:rPr>
          <w:rFonts w:hint="eastAsia" w:hAnsi="仿宋_GB2312"/>
          <w:sz w:val="28"/>
          <w:szCs w:val="28"/>
        </w:rPr>
        <w:t>年度部门决算情况说明</w:t>
      </w:r>
    </w:p>
    <w:p>
      <w:pPr>
        <w:pStyle w:val="39"/>
        <w:snapToGrid w:val="0"/>
        <w:spacing w:line="58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一、收入支出决算总体情况说明</w:t>
      </w:r>
    </w:p>
    <w:p>
      <w:pPr>
        <w:adjustRightInd w:val="0"/>
        <w:snapToGrid w:val="0"/>
        <w:spacing w:line="58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二、收入决算情况说明</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w:t>
      </w:r>
    </w:p>
    <w:p>
      <w:pPr>
        <w:autoSpaceDE w:val="0"/>
        <w:autoSpaceDN w:val="0"/>
        <w:adjustRightInd w:val="0"/>
        <w:snapToGrid w:val="0"/>
        <w:spacing w:line="58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39"/>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39"/>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十三、关</w:t>
      </w:r>
      <w:r>
        <w:rPr>
          <w:rFonts w:hint="eastAsia" w:ascii="仿宋_GB2312" w:hAnsi="宋体" w:eastAsia="仿宋_GB2312" w:cs="仿宋_GB2312"/>
          <w:sz w:val="28"/>
          <w:szCs w:val="28"/>
        </w:rPr>
        <w:t>于</w:t>
      </w:r>
      <w:r>
        <w:rPr>
          <w:rFonts w:ascii="仿宋_GB2312" w:hAnsi="宋体" w:eastAsia="仿宋_GB2312" w:cs="仿宋_GB2312"/>
          <w:sz w:val="28"/>
          <w:szCs w:val="28"/>
        </w:rPr>
        <w:t>2020</w:t>
      </w:r>
      <w:r>
        <w:rPr>
          <w:rFonts w:hint="eastAsia" w:ascii="仿宋_GB2312" w:hAnsi="宋体" w:eastAsia="仿宋_GB2312" w:cs="仿宋_GB2312"/>
          <w:sz w:val="28"/>
          <w:szCs w:val="28"/>
        </w:rPr>
        <w:t>年</w:t>
      </w:r>
      <w:r>
        <w:rPr>
          <w:rFonts w:hint="eastAsia" w:ascii="仿宋_GB2312" w:hAnsi="仿宋_GB2312" w:eastAsia="仿宋_GB2312" w:cs="仿宋_GB2312"/>
          <w:sz w:val="28"/>
          <w:szCs w:val="28"/>
        </w:rPr>
        <w:t>度预算绩效情况的说明</w:t>
      </w:r>
    </w:p>
    <w:p>
      <w:pPr>
        <w:autoSpaceDE w:val="0"/>
        <w:autoSpaceDN w:val="0"/>
        <w:adjustRightInd w:val="0"/>
        <w:snapToGrid w:val="0"/>
        <w:spacing w:line="580" w:lineRule="exact"/>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第四部分名词解释</w:t>
      </w:r>
    </w:p>
    <w:p>
      <w:pPr>
        <w:autoSpaceDE w:val="0"/>
        <w:autoSpaceDN w:val="0"/>
        <w:adjustRightInd w:val="0"/>
        <w:snapToGrid w:val="0"/>
        <w:spacing w:line="580" w:lineRule="exact"/>
        <w:ind w:firstLine="560" w:firstLineChars="200"/>
        <w:jc w:val="left"/>
        <w:rPr>
          <w:rFonts w:hint="eastAsia" w:ascii="黑体" w:hAnsi="黑体" w:eastAsia="黑体" w:cs="黑体"/>
          <w:color w:val="000000"/>
          <w:kern w:val="0"/>
          <w:sz w:val="28"/>
          <w:szCs w:val="28"/>
        </w:rPr>
      </w:pPr>
    </w:p>
    <w:p>
      <w:pPr>
        <w:autoSpaceDE w:val="0"/>
        <w:autoSpaceDN w:val="0"/>
        <w:adjustRightInd w:val="0"/>
        <w:snapToGrid w:val="0"/>
        <w:spacing w:line="580" w:lineRule="exact"/>
        <w:ind w:firstLine="560" w:firstLineChars="200"/>
        <w:jc w:val="left"/>
        <w:rPr>
          <w:rFonts w:hint="eastAsia" w:ascii="黑体" w:hAnsi="黑体" w:eastAsia="黑体" w:cs="黑体"/>
          <w:color w:val="000000"/>
          <w:kern w:val="0"/>
          <w:sz w:val="28"/>
          <w:szCs w:val="28"/>
          <w:lang w:eastAsia="zh-CN"/>
        </w:rPr>
        <w:sectPr>
          <w:footerReference r:id="rId9" w:type="default"/>
          <w:pgSz w:w="11915" w:h="16851"/>
          <w:pgMar w:top="1440" w:right="1800" w:bottom="1440" w:left="1800" w:header="851" w:footer="992" w:gutter="0"/>
          <w:pgNumType w:start="1"/>
          <w:cols w:space="720" w:num="1"/>
          <w:docGrid w:type="lines" w:linePitch="312" w:charSpace="0"/>
        </w:sectPr>
      </w:pPr>
      <w:r>
        <w:rPr>
          <w:rFonts w:hint="eastAsia" w:ascii="黑体" w:hAnsi="黑体" w:eastAsia="黑体" w:cs="黑体"/>
          <w:color w:val="000000"/>
          <w:kern w:val="0"/>
          <w:sz w:val="28"/>
          <w:szCs w:val="28"/>
          <w:lang w:eastAsia="zh-CN"/>
        </w:rPr>
        <w:t>第五部分附件</w:t>
      </w:r>
    </w:p>
    <w:p>
      <w:pPr>
        <w:pStyle w:val="13"/>
        <w:adjustRightInd w:val="0"/>
        <w:snapToGrid w:val="0"/>
        <w:spacing w:before="0" w:beforeAutospacing="0" w:after="0" w:afterAutospacing="0" w:line="560" w:lineRule="exact"/>
        <w:ind w:firstLine="880" w:firstLineChars="200"/>
        <w:jc w:val="center"/>
        <w:outlineLvl w:val="0"/>
        <w:rPr>
          <w:rFonts w:ascii="黑体" w:hAnsi="黑体" w:eastAsia="黑体" w:cs="黑体"/>
          <w:sz w:val="32"/>
          <w:szCs w:val="32"/>
          <w:shd w:val="clear" w:color="auto" w:fill="FFFFFF"/>
        </w:rPr>
      </w:pPr>
      <w:bookmarkStart w:id="0" w:name="_Toc6365"/>
      <w:r>
        <w:rPr>
          <w:rFonts w:hint="eastAsia" w:ascii="黑体" w:hAnsi="黑体" w:eastAsia="黑体" w:cs="黑体"/>
          <w:sz w:val="44"/>
          <w:szCs w:val="44"/>
          <w:shd w:val="clear" w:color="auto" w:fill="FFFFFF"/>
        </w:rPr>
        <w:t>第一部分</w:t>
      </w:r>
      <w:r>
        <w:rPr>
          <w:rFonts w:ascii="黑体" w:hAnsi="黑体" w:eastAsia="黑体" w:cs="黑体"/>
          <w:sz w:val="44"/>
          <w:szCs w:val="44"/>
          <w:shd w:val="clear" w:color="auto" w:fill="FFFFFF"/>
        </w:rPr>
        <w:t xml:space="preserve"> </w:t>
      </w:r>
      <w:r>
        <w:rPr>
          <w:rFonts w:hint="eastAsia" w:ascii="黑体" w:hAnsi="黑体" w:eastAsia="黑体" w:cs="黑体"/>
          <w:sz w:val="44"/>
          <w:szCs w:val="44"/>
          <w:shd w:val="clear" w:color="auto" w:fill="FFFFFF"/>
        </w:rPr>
        <w:t>涟源市人民检察院概况</w:t>
      </w:r>
      <w:bookmarkEnd w:id="0"/>
    </w:p>
    <w:p>
      <w:pPr>
        <w:pStyle w:val="13"/>
        <w:adjustRightInd w:val="0"/>
        <w:snapToGrid w:val="0"/>
        <w:spacing w:before="0" w:beforeAutospacing="0" w:after="0" w:afterAutospacing="0" w:line="560" w:lineRule="exact"/>
        <w:ind w:left="420" w:leftChars="200"/>
        <w:outlineLvl w:val="1"/>
        <w:rPr>
          <w:rFonts w:ascii="楷体_GB2312" w:hAnsi="楷体" w:eastAsia="楷体_GB2312" w:cs="楷体"/>
          <w:b/>
          <w:bCs/>
          <w:sz w:val="32"/>
          <w:szCs w:val="32"/>
          <w:shd w:val="clear" w:color="auto" w:fill="FFFFFF"/>
        </w:rPr>
      </w:pPr>
      <w:bookmarkStart w:id="1" w:name="_Toc26770"/>
      <w:bookmarkStart w:id="2" w:name="_Toc4526"/>
      <w:r>
        <w:rPr>
          <w:rFonts w:hint="eastAsia" w:ascii="楷体_GB2312" w:hAnsi="楷体" w:eastAsia="楷体_GB2312" w:cs="楷体"/>
          <w:sz w:val="32"/>
          <w:szCs w:val="32"/>
          <w:shd w:val="clear" w:color="auto" w:fill="FFFFFF"/>
        </w:rPr>
        <w:t>一、部门职责</w:t>
      </w:r>
      <w:bookmarkEnd w:id="1"/>
      <w:bookmarkEnd w:id="2"/>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根据《宪法》和《人民检察院组织法》规定，涟源市人民检察院作为法律监督机关，对上级人民检察院和涟源市人大负责，受涟源市人大及其常委会监督并报告工作，接受上级检察院和中共涟源市委领导。主要职责有：</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1.</w:t>
      </w:r>
      <w:r>
        <w:rPr>
          <w:rFonts w:hint="eastAsia" w:ascii="仿宋_GB2312" w:hAnsi="宋体" w:eastAsia="仿宋_GB2312" w:cs="Times New Roman"/>
          <w:kern w:val="0"/>
          <w:sz w:val="32"/>
          <w:szCs w:val="32"/>
        </w:rPr>
        <w:t>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2.</w:t>
      </w:r>
      <w:r>
        <w:rPr>
          <w:rFonts w:hint="eastAsia" w:ascii="仿宋_GB2312" w:hAnsi="宋体" w:eastAsia="仿宋_GB2312" w:cs="Times New Roman"/>
          <w:kern w:val="0"/>
          <w:sz w:val="32"/>
          <w:szCs w:val="32"/>
        </w:rPr>
        <w:t>依照法律规定对由市人民检察院直接受理的刑事案件行使侦查权。</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3.</w:t>
      </w:r>
      <w:r>
        <w:rPr>
          <w:rFonts w:hint="eastAsia" w:ascii="仿宋_GB2312" w:hAnsi="宋体" w:eastAsia="仿宋_GB2312" w:cs="Times New Roman"/>
          <w:kern w:val="0"/>
          <w:sz w:val="32"/>
          <w:szCs w:val="32"/>
        </w:rPr>
        <w:t>对辖区内的重大刑事案件依法审查批准逮捕、决定逮捕、提起公诉，领导全省各级人民检察院开展对刑事犯罪案件的审查批准逮捕、决定逮捕、提起公诉工作。</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4.</w:t>
      </w:r>
      <w:r>
        <w:rPr>
          <w:rFonts w:hint="eastAsia" w:ascii="仿宋_GB2312" w:hAnsi="宋体" w:eastAsia="仿宋_GB2312" w:cs="Times New Roman"/>
          <w:kern w:val="0"/>
          <w:sz w:val="32"/>
          <w:szCs w:val="32"/>
        </w:rPr>
        <w:t>负责应由市人民检察院承办的刑事、民事、行政诉讼活动及刑事、民事、行政判决和裁定等生效法律文书执行的法律监督工作。</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5.</w:t>
      </w:r>
      <w:r>
        <w:rPr>
          <w:rFonts w:hint="eastAsia" w:ascii="仿宋_GB2312" w:hAnsi="宋体" w:eastAsia="仿宋_GB2312" w:cs="Times New Roman"/>
          <w:kern w:val="0"/>
          <w:sz w:val="32"/>
          <w:szCs w:val="32"/>
        </w:rPr>
        <w:t>负责应由市人民检察院承办的提起公益诉讼工作。</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6.</w:t>
      </w:r>
      <w:r>
        <w:rPr>
          <w:rFonts w:hint="eastAsia" w:ascii="仿宋_GB2312" w:hAnsi="宋体" w:eastAsia="仿宋_GB2312" w:cs="Times New Roman"/>
          <w:kern w:val="0"/>
          <w:sz w:val="32"/>
          <w:szCs w:val="32"/>
        </w:rPr>
        <w:t>负责应由市人民检察院承办的对监狱、看守所等执法活动的法律监督工作。</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7.</w:t>
      </w:r>
      <w:r>
        <w:rPr>
          <w:rFonts w:hint="eastAsia" w:ascii="仿宋_GB2312" w:hAnsi="宋体" w:eastAsia="仿宋_GB2312" w:cs="Times New Roman"/>
          <w:kern w:val="0"/>
          <w:sz w:val="32"/>
          <w:szCs w:val="32"/>
        </w:rPr>
        <w:t>受理向市人民检察院的控告申诉。</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8.</w:t>
      </w:r>
      <w:r>
        <w:rPr>
          <w:rFonts w:hint="eastAsia" w:ascii="仿宋_GB2312" w:hAnsi="宋体" w:eastAsia="仿宋_GB2312" w:cs="Times New Roman"/>
          <w:kern w:val="0"/>
          <w:sz w:val="32"/>
          <w:szCs w:val="32"/>
        </w:rPr>
        <w:t>负责市检察机关队伍建设和思想政治工作。</w:t>
      </w:r>
      <w:r>
        <w:rPr>
          <w:rFonts w:ascii="仿宋_GB2312" w:hAnsi="宋体" w:eastAsia="仿宋_GB2312" w:cs="Times New Roman"/>
          <w:kern w:val="0"/>
          <w:sz w:val="32"/>
          <w:szCs w:val="32"/>
        </w:rPr>
        <w:t>13.</w:t>
      </w:r>
      <w:r>
        <w:rPr>
          <w:rFonts w:hint="eastAsia" w:ascii="仿宋_GB2312" w:hAnsi="宋体" w:eastAsia="仿宋_GB2312" w:cs="Times New Roman"/>
          <w:kern w:val="0"/>
          <w:sz w:val="32"/>
          <w:szCs w:val="32"/>
        </w:rPr>
        <w:t>协同省委主管部门管理和考核全省市、县两级人民检察院的检察长，协同市州党委管理和考核市州人民检察院的副检察长。</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 xml:space="preserve">10. </w:t>
      </w:r>
      <w:r>
        <w:rPr>
          <w:rFonts w:hint="eastAsia" w:ascii="仿宋_GB2312" w:hAnsi="宋体" w:eastAsia="仿宋_GB2312" w:cs="Times New Roman"/>
          <w:kern w:val="0"/>
          <w:sz w:val="32"/>
          <w:szCs w:val="32"/>
        </w:rPr>
        <w:t>负责市检察院的检务督察工作。</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11.</w:t>
      </w:r>
      <w:r>
        <w:rPr>
          <w:rFonts w:hint="eastAsia" w:ascii="仿宋_GB2312" w:hAnsi="宋体" w:eastAsia="仿宋_GB2312" w:cs="Times New Roman"/>
          <w:kern w:val="0"/>
          <w:sz w:val="32"/>
          <w:szCs w:val="32"/>
        </w:rPr>
        <w:t>规划市检察机关的财务装备工作</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ascii="仿宋_GB2312" w:hAnsi="宋体" w:eastAsia="仿宋_GB2312" w:cs="Times New Roman"/>
          <w:kern w:val="0"/>
          <w:sz w:val="32"/>
          <w:szCs w:val="32"/>
        </w:rPr>
        <w:t>12.</w:t>
      </w:r>
      <w:r>
        <w:rPr>
          <w:rFonts w:hint="eastAsia" w:ascii="仿宋_GB2312" w:hAnsi="宋体" w:eastAsia="仿宋_GB2312" w:cs="Times New Roman"/>
          <w:kern w:val="0"/>
          <w:sz w:val="32"/>
          <w:szCs w:val="32"/>
        </w:rPr>
        <w:t>负责其他应当由负责市人民检察院承办的事项。</w:t>
      </w:r>
    </w:p>
    <w:p>
      <w:pPr>
        <w:pStyle w:val="13"/>
        <w:adjustRightInd w:val="0"/>
        <w:snapToGrid w:val="0"/>
        <w:spacing w:before="0" w:beforeAutospacing="0" w:after="0" w:afterAutospacing="0" w:line="560" w:lineRule="exact"/>
        <w:ind w:firstLine="640" w:firstLineChars="200"/>
        <w:outlineLvl w:val="1"/>
        <w:rPr>
          <w:rFonts w:ascii="楷体_GB2312" w:hAnsi="黑体" w:eastAsia="楷体_GB2312" w:cs="黑体"/>
          <w:sz w:val="32"/>
          <w:szCs w:val="32"/>
        </w:rPr>
      </w:pPr>
      <w:bookmarkStart w:id="3" w:name="_Toc647"/>
      <w:bookmarkStart w:id="4" w:name="_Toc27540"/>
      <w:r>
        <w:rPr>
          <w:rFonts w:hint="eastAsia" w:ascii="楷体_GB2312" w:hAnsi="楷体" w:eastAsia="楷体_GB2312" w:cs="楷体"/>
          <w:sz w:val="32"/>
          <w:szCs w:val="32"/>
          <w:shd w:val="clear" w:color="auto" w:fill="FFFFFF"/>
        </w:rPr>
        <w:t>二、机构设置</w:t>
      </w:r>
      <w:bookmarkEnd w:id="3"/>
      <w:bookmarkEnd w:id="4"/>
    </w:p>
    <w:p>
      <w:pPr>
        <w:adjustRightInd w:val="0"/>
        <w:snapToGrid w:val="0"/>
        <w:spacing w:line="560" w:lineRule="exact"/>
        <w:ind w:firstLine="640" w:firstLineChars="200"/>
        <w:jc w:val="left"/>
        <w:rPr>
          <w:rFonts w:ascii="楷体_GB2312" w:hAnsi="楷体" w:eastAsia="楷体_GB2312" w:cs="楷体"/>
          <w:kern w:val="0"/>
          <w:sz w:val="32"/>
          <w:szCs w:val="32"/>
          <w:shd w:val="clear" w:color="auto" w:fill="FFFFFF"/>
        </w:rPr>
      </w:pPr>
      <w:r>
        <w:rPr>
          <w:rFonts w:hint="eastAsia" w:ascii="楷体_GB2312" w:hAnsi="楷体" w:eastAsia="楷体_GB2312" w:cs="楷体"/>
          <w:kern w:val="0"/>
          <w:sz w:val="32"/>
          <w:szCs w:val="32"/>
          <w:shd w:val="clear" w:color="auto" w:fill="FFFFFF"/>
        </w:rPr>
        <w:t>（一）内设机构设置。</w:t>
      </w:r>
    </w:p>
    <w:p>
      <w:pPr>
        <w:adjustRightInd w:val="0"/>
        <w:snapToGrid w:val="0"/>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湖南省人民检察院机关本级现有</w:t>
      </w:r>
      <w:r>
        <w:rPr>
          <w:rFonts w:ascii="仿宋_GB2312" w:hAnsi="宋体" w:eastAsia="仿宋_GB2312" w:cs="Times New Roman"/>
          <w:kern w:val="0"/>
          <w:sz w:val="32"/>
          <w:szCs w:val="32"/>
        </w:rPr>
        <w:t>8</w:t>
      </w:r>
      <w:r>
        <w:rPr>
          <w:rFonts w:hint="eastAsia" w:ascii="仿宋_GB2312" w:hAnsi="宋体" w:eastAsia="仿宋_GB2312" w:cs="Times New Roman"/>
          <w:kern w:val="0"/>
          <w:sz w:val="32"/>
          <w:szCs w:val="32"/>
        </w:rPr>
        <w:t>个内设机构，分别为：办公室、第一检察部、第二检察部、第三检察部、第四检察部、第五检察部、第六检察部、政治部。</w:t>
      </w:r>
    </w:p>
    <w:p>
      <w:pPr>
        <w:adjustRightInd w:val="0"/>
        <w:snapToGrid w:val="0"/>
        <w:spacing w:line="560" w:lineRule="exact"/>
        <w:ind w:firstLine="640" w:firstLineChars="200"/>
        <w:jc w:val="left"/>
        <w:rPr>
          <w:rFonts w:ascii="楷体_GB2312" w:hAnsi="楷体" w:eastAsia="楷体_GB2312" w:cs="楷体"/>
          <w:kern w:val="0"/>
          <w:sz w:val="32"/>
          <w:szCs w:val="32"/>
          <w:shd w:val="clear" w:color="auto" w:fill="FFFFFF"/>
        </w:rPr>
      </w:pPr>
      <w:r>
        <w:rPr>
          <w:rFonts w:hint="eastAsia" w:ascii="楷体_GB2312" w:hAnsi="楷体" w:eastAsia="楷体_GB2312" w:cs="楷体"/>
          <w:kern w:val="0"/>
          <w:sz w:val="32"/>
          <w:szCs w:val="32"/>
          <w:shd w:val="clear" w:color="auto" w:fill="FFFFFF"/>
        </w:rPr>
        <w:t>（二）决算单位构成。</w:t>
      </w:r>
    </w:p>
    <w:p>
      <w:pPr>
        <w:adjustRightInd w:val="0"/>
        <w:snapToGrid w:val="0"/>
        <w:spacing w:line="560" w:lineRule="exact"/>
        <w:ind w:firstLine="640" w:firstLineChars="200"/>
        <w:jc w:val="left"/>
        <w:rPr>
          <w:rStyle w:val="15"/>
          <w:rFonts w:ascii="宋体" w:hAnsi="宋体"/>
          <w:kern w:val="0"/>
          <w:sz w:val="24"/>
          <w:szCs w:val="24"/>
          <w:shd w:val="clear" w:color="auto" w:fill="FFFFFF"/>
        </w:rPr>
      </w:pPr>
      <w:r>
        <w:rPr>
          <w:rFonts w:hint="eastAsia" w:ascii="仿宋_GB2312" w:hAnsi="宋体" w:eastAsia="仿宋_GB2312" w:cs="Times New Roman"/>
          <w:kern w:val="0"/>
          <w:sz w:val="32"/>
          <w:szCs w:val="32"/>
        </w:rPr>
        <w:t>涟源市人民检察院</w:t>
      </w:r>
      <w:r>
        <w:rPr>
          <w:rFonts w:ascii="仿宋_GB2312" w:hAnsi="宋体" w:eastAsia="仿宋_GB2312" w:cs="Times New Roman"/>
          <w:kern w:val="0"/>
          <w:sz w:val="32"/>
          <w:szCs w:val="32"/>
        </w:rPr>
        <w:t>2020</w:t>
      </w:r>
      <w:r>
        <w:rPr>
          <w:rFonts w:hint="eastAsia" w:ascii="仿宋_GB2312" w:hAnsi="宋体" w:eastAsia="仿宋_GB2312" w:cs="Times New Roman"/>
          <w:kern w:val="0"/>
          <w:sz w:val="32"/>
          <w:szCs w:val="32"/>
        </w:rPr>
        <w:t>年部门决算包含的主体范围是机关本级。</w:t>
      </w:r>
    </w:p>
    <w:p>
      <w:pPr>
        <w:jc w:val="left"/>
        <w:rPr>
          <w:rStyle w:val="15"/>
          <w:rFonts w:ascii="黑体" w:hAnsi="黑体" w:eastAsia="黑体" w:cs="黑体"/>
          <w:kern w:val="0"/>
          <w:sz w:val="44"/>
          <w:szCs w:val="44"/>
          <w:shd w:val="clear" w:color="auto" w:fill="FFFFFF"/>
        </w:rPr>
      </w:pPr>
      <w:bookmarkStart w:id="5" w:name="_Toc30556"/>
      <w:r>
        <w:rPr>
          <w:rStyle w:val="15"/>
          <w:rFonts w:ascii="黑体" w:hAnsi="黑体" w:eastAsia="黑体" w:cs="黑体"/>
          <w:kern w:val="0"/>
          <w:sz w:val="44"/>
          <w:szCs w:val="44"/>
          <w:shd w:val="clear" w:color="auto" w:fill="FFFFFF"/>
        </w:rPr>
        <w:br w:type="page"/>
      </w:r>
    </w:p>
    <w:p>
      <w:pPr>
        <w:pStyle w:val="13"/>
        <w:spacing w:before="0" w:beforeAutospacing="0"/>
        <w:jc w:val="center"/>
        <w:outlineLvl w:val="0"/>
        <w:rPr>
          <w:rStyle w:val="15"/>
          <w:rFonts w:ascii="黑体" w:hAnsi="黑体" w:eastAsia="黑体" w:cs="黑体"/>
          <w:sz w:val="44"/>
          <w:szCs w:val="44"/>
          <w:shd w:val="clear" w:color="auto" w:fill="FFFFFF"/>
        </w:rPr>
      </w:pPr>
      <w:r>
        <w:rPr>
          <w:rStyle w:val="15"/>
          <w:rFonts w:hint="eastAsia" w:ascii="黑体" w:hAnsi="黑体" w:eastAsia="黑体" w:cs="黑体"/>
          <w:sz w:val="44"/>
          <w:szCs w:val="44"/>
          <w:shd w:val="clear" w:color="auto" w:fill="FFFFFF"/>
        </w:rPr>
        <w:t>第二部分</w:t>
      </w:r>
      <w:r>
        <w:rPr>
          <w:rStyle w:val="15"/>
          <w:rFonts w:ascii="黑体" w:hAnsi="黑体" w:eastAsia="黑体" w:cs="黑体"/>
          <w:sz w:val="44"/>
          <w:szCs w:val="44"/>
          <w:shd w:val="clear" w:color="auto" w:fill="FFFFFF"/>
        </w:rPr>
        <w:t xml:space="preserve"> 2020</w:t>
      </w:r>
      <w:r>
        <w:rPr>
          <w:rStyle w:val="15"/>
          <w:rFonts w:hint="eastAsia" w:ascii="黑体" w:hAnsi="黑体" w:eastAsia="黑体" w:cs="黑体"/>
          <w:sz w:val="44"/>
          <w:szCs w:val="44"/>
          <w:shd w:val="clear" w:color="auto" w:fill="FFFFFF"/>
        </w:rPr>
        <w:t>年度部门决算表</w:t>
      </w:r>
      <w:bookmarkEnd w:id="5"/>
    </w:p>
    <w:p>
      <w:pPr>
        <w:pStyle w:val="13"/>
        <w:adjustRightInd w:val="0"/>
        <w:snapToGrid w:val="0"/>
        <w:spacing w:before="0" w:beforeAutospacing="0" w:after="0" w:afterAutospacing="0" w:line="400" w:lineRule="exact"/>
        <w:outlineLvl w:val="1"/>
        <w:rPr>
          <w:rStyle w:val="15"/>
          <w:rFonts w:ascii="楷体_GB2312" w:hAnsi="楷体" w:eastAsia="楷体_GB2312" w:cs="楷体"/>
          <w:sz w:val="32"/>
          <w:szCs w:val="32"/>
          <w:shd w:val="clear" w:color="auto" w:fill="FFFFFF"/>
        </w:rPr>
      </w:pPr>
      <w:bookmarkStart w:id="6" w:name="_Toc5134"/>
      <w:r>
        <w:rPr>
          <w:rFonts w:hint="eastAsia" w:ascii="楷体_GB2312" w:hAnsi="楷体" w:eastAsia="楷体_GB2312" w:cs="楷体"/>
          <w:sz w:val="32"/>
          <w:szCs w:val="32"/>
          <w:shd w:val="clear" w:color="auto" w:fill="FFFFFF"/>
        </w:rPr>
        <w:t>一、收入支出决算总表</w:t>
      </w:r>
      <w:bookmarkEnd w:id="6"/>
    </w:p>
    <w:tbl>
      <w:tblPr>
        <w:tblStyle w:val="19"/>
        <w:tblpPr w:leftFromText="180" w:rightFromText="180" w:vertAnchor="text" w:horzAnchor="page" w:tblpX="814" w:tblpY="437"/>
        <w:tblOverlap w:val="never"/>
        <w:tblW w:w="10180" w:type="dxa"/>
        <w:tblInd w:w="0" w:type="dxa"/>
        <w:tblLayout w:type="fixed"/>
        <w:tblCellMar>
          <w:top w:w="0" w:type="dxa"/>
          <w:left w:w="0" w:type="dxa"/>
          <w:bottom w:w="0" w:type="dxa"/>
          <w:right w:w="0" w:type="dxa"/>
        </w:tblCellMar>
      </w:tblPr>
      <w:tblGrid>
        <w:gridCol w:w="3030"/>
        <w:gridCol w:w="430"/>
        <w:gridCol w:w="1630"/>
        <w:gridCol w:w="3030"/>
        <w:gridCol w:w="430"/>
        <w:gridCol w:w="1630"/>
      </w:tblGrid>
      <w:tr>
        <w:tblPrEx>
          <w:tblLayout w:type="fixed"/>
          <w:tblCellMar>
            <w:top w:w="0" w:type="dxa"/>
            <w:left w:w="0" w:type="dxa"/>
            <w:bottom w:w="0" w:type="dxa"/>
            <w:right w:w="0" w:type="dxa"/>
          </w:tblCellMar>
        </w:tblPrEx>
        <w:trPr>
          <w:trHeight w:val="300" w:hRule="atLeast"/>
        </w:trPr>
        <w:tc>
          <w:tcPr>
            <w:tcW w:w="3030" w:type="dxa"/>
            <w:tcBorders>
              <w:top w:val="nil"/>
              <w:left w:val="nil"/>
              <w:bottom w:val="nil"/>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olor w:val="000000"/>
                <w:kern w:val="0"/>
                <w:sz w:val="18"/>
                <w:szCs w:val="18"/>
              </w:rPr>
            </w:pPr>
          </w:p>
        </w:tc>
        <w:tc>
          <w:tcPr>
            <w:tcW w:w="430" w:type="dxa"/>
            <w:tcBorders>
              <w:top w:val="nil"/>
              <w:left w:val="nil"/>
              <w:bottom w:val="nil"/>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olor w:val="000000"/>
                <w:kern w:val="0"/>
                <w:sz w:val="18"/>
                <w:szCs w:val="18"/>
              </w:rPr>
            </w:pPr>
          </w:p>
        </w:tc>
        <w:tc>
          <w:tcPr>
            <w:tcW w:w="1630" w:type="dxa"/>
            <w:tcBorders>
              <w:top w:val="nil"/>
              <w:left w:val="nil"/>
              <w:bottom w:val="nil"/>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olor w:val="000000"/>
                <w:kern w:val="0"/>
                <w:sz w:val="18"/>
                <w:szCs w:val="18"/>
              </w:rPr>
            </w:pPr>
          </w:p>
        </w:tc>
        <w:tc>
          <w:tcPr>
            <w:tcW w:w="3030" w:type="dxa"/>
            <w:tcBorders>
              <w:top w:val="nil"/>
              <w:left w:val="nil"/>
              <w:bottom w:val="nil"/>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olor w:val="000000"/>
                <w:kern w:val="0"/>
                <w:sz w:val="18"/>
                <w:szCs w:val="18"/>
              </w:rPr>
            </w:pPr>
          </w:p>
        </w:tc>
        <w:tc>
          <w:tcPr>
            <w:tcW w:w="430" w:type="dxa"/>
            <w:tcBorders>
              <w:top w:val="nil"/>
              <w:left w:val="nil"/>
              <w:bottom w:val="nil"/>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olor w:val="000000"/>
                <w:kern w:val="0"/>
                <w:sz w:val="18"/>
                <w:szCs w:val="18"/>
              </w:rPr>
            </w:pPr>
          </w:p>
        </w:tc>
        <w:tc>
          <w:tcPr>
            <w:tcW w:w="1630" w:type="dxa"/>
            <w:tcBorders>
              <w:top w:val="nil"/>
              <w:left w:val="nil"/>
              <w:bottom w:val="nil"/>
            </w:tcBorders>
            <w:shd w:val="clear" w:color="auto" w:fill="FFFFFF"/>
            <w:tcMar>
              <w:top w:w="15" w:type="dxa"/>
              <w:left w:w="15" w:type="dxa"/>
              <w:right w:w="15" w:type="dxa"/>
            </w:tcMar>
            <w:vAlign w:val="center"/>
          </w:tcPr>
          <w:p>
            <w:pPr>
              <w:adjustRightInd w:val="0"/>
              <w:snapToGrid w:val="0"/>
              <w:spacing w:line="400" w:lineRule="exact"/>
              <w:jc w:val="right"/>
              <w:textAlignment w:val="center"/>
              <w:rPr>
                <w:rFonts w:ascii="宋体" w:hAnsi="宋体"/>
                <w:color w:val="000000"/>
                <w:kern w:val="0"/>
                <w:sz w:val="22"/>
                <w:szCs w:val="22"/>
              </w:rPr>
            </w:pPr>
            <w:r>
              <w:rPr>
                <w:rFonts w:hint="eastAsia" w:ascii="宋体" w:hAnsi="宋体"/>
                <w:color w:val="000000"/>
                <w:kern w:val="0"/>
                <w:sz w:val="22"/>
                <w:szCs w:val="22"/>
              </w:rPr>
              <w:t>公开</w:t>
            </w:r>
            <w:r>
              <w:rPr>
                <w:rFonts w:ascii="宋体" w:hAnsi="宋体"/>
                <w:color w:val="000000"/>
                <w:kern w:val="0"/>
                <w:sz w:val="22"/>
                <w:szCs w:val="22"/>
              </w:rPr>
              <w:t>01</w:t>
            </w:r>
            <w:r>
              <w:rPr>
                <w:rFonts w:hint="eastAsia" w:ascii="宋体" w:hAnsi="宋体"/>
                <w:color w:val="000000"/>
                <w:kern w:val="0"/>
                <w:sz w:val="22"/>
                <w:szCs w:val="22"/>
              </w:rPr>
              <w:t>表</w:t>
            </w:r>
          </w:p>
        </w:tc>
      </w:tr>
      <w:tr>
        <w:tblPrEx>
          <w:tblLayout w:type="fixed"/>
          <w:tblCellMar>
            <w:top w:w="0" w:type="dxa"/>
            <w:left w:w="0" w:type="dxa"/>
            <w:bottom w:w="0" w:type="dxa"/>
            <w:right w:w="0" w:type="dxa"/>
          </w:tblCellMar>
        </w:tblPrEx>
        <w:trPr>
          <w:trHeight w:val="300" w:hRule="atLeast"/>
        </w:trPr>
        <w:tc>
          <w:tcPr>
            <w:tcW w:w="3030" w:type="dxa"/>
            <w:tcBorders>
              <w:top w:val="nil"/>
              <w:left w:val="nil"/>
              <w:bottom w:val="single" w:color="auto" w:sz="4" w:space="0"/>
              <w:right w:val="nil"/>
            </w:tcBorders>
            <w:shd w:val="clear" w:color="auto" w:fill="FFFFFF"/>
            <w:tcMar>
              <w:top w:w="15" w:type="dxa"/>
              <w:left w:w="15" w:type="dxa"/>
              <w:right w:w="15" w:type="dxa"/>
            </w:tcMar>
            <w:vAlign w:val="center"/>
          </w:tcPr>
          <w:p>
            <w:pPr>
              <w:adjustRightInd w:val="0"/>
              <w:snapToGrid w:val="0"/>
              <w:spacing w:line="400" w:lineRule="exact"/>
              <w:jc w:val="left"/>
              <w:textAlignment w:val="center"/>
              <w:rPr>
                <w:rFonts w:ascii="宋体" w:hAnsi="宋体"/>
                <w:color w:val="000000"/>
                <w:kern w:val="0"/>
                <w:sz w:val="22"/>
                <w:szCs w:val="22"/>
              </w:rPr>
            </w:pPr>
            <w:r>
              <w:rPr>
                <w:rFonts w:hint="eastAsia" w:ascii="宋体" w:hAnsi="宋体"/>
                <w:color w:val="000000"/>
                <w:kern w:val="0"/>
                <w:sz w:val="22"/>
                <w:szCs w:val="22"/>
              </w:rPr>
              <w:t>部门：涟源市人民检察院</w:t>
            </w:r>
          </w:p>
        </w:tc>
        <w:tc>
          <w:tcPr>
            <w:tcW w:w="430" w:type="dxa"/>
            <w:tcBorders>
              <w:top w:val="nil"/>
              <w:left w:val="nil"/>
              <w:bottom w:val="single" w:color="auto" w:sz="4" w:space="0"/>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olor w:val="000000"/>
                <w:kern w:val="0"/>
                <w:sz w:val="18"/>
                <w:szCs w:val="18"/>
              </w:rPr>
            </w:pPr>
          </w:p>
        </w:tc>
        <w:tc>
          <w:tcPr>
            <w:tcW w:w="1630" w:type="dxa"/>
            <w:tcBorders>
              <w:top w:val="nil"/>
              <w:left w:val="nil"/>
              <w:bottom w:val="single" w:color="auto" w:sz="4" w:space="0"/>
              <w:right w:val="nil"/>
            </w:tcBorders>
            <w:shd w:val="clear" w:color="auto" w:fill="FFFFFF"/>
            <w:tcMar>
              <w:top w:w="15" w:type="dxa"/>
              <w:left w:w="15" w:type="dxa"/>
              <w:right w:w="15" w:type="dxa"/>
            </w:tcMar>
            <w:vAlign w:val="center"/>
          </w:tcPr>
          <w:p>
            <w:pPr>
              <w:adjustRightInd w:val="0"/>
              <w:snapToGrid w:val="0"/>
              <w:spacing w:line="400" w:lineRule="exact"/>
              <w:jc w:val="center"/>
              <w:textAlignment w:val="center"/>
              <w:rPr>
                <w:rFonts w:ascii="宋体" w:hAnsi="宋体"/>
                <w:color w:val="000000"/>
                <w:kern w:val="0"/>
                <w:sz w:val="18"/>
                <w:szCs w:val="18"/>
              </w:rPr>
            </w:pPr>
            <w:r>
              <w:rPr>
                <w:rFonts w:ascii="宋体" w:hAnsi="宋体"/>
                <w:color w:val="000000"/>
                <w:kern w:val="0"/>
                <w:sz w:val="24"/>
                <w:szCs w:val="24"/>
              </w:rPr>
              <w:t>2020</w:t>
            </w:r>
            <w:r>
              <w:rPr>
                <w:rFonts w:hint="eastAsia" w:ascii="宋体" w:hAnsi="宋体"/>
                <w:color w:val="000000"/>
                <w:kern w:val="0"/>
                <w:sz w:val="24"/>
                <w:szCs w:val="24"/>
              </w:rPr>
              <w:t>年度</w:t>
            </w:r>
          </w:p>
        </w:tc>
        <w:tc>
          <w:tcPr>
            <w:tcW w:w="3030" w:type="dxa"/>
            <w:tcBorders>
              <w:top w:val="nil"/>
              <w:left w:val="nil"/>
              <w:bottom w:val="single" w:color="auto" w:sz="4" w:space="0"/>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s="Times New Roman"/>
                <w:kern w:val="0"/>
                <w:sz w:val="24"/>
                <w:szCs w:val="24"/>
              </w:rPr>
            </w:pPr>
          </w:p>
        </w:tc>
        <w:tc>
          <w:tcPr>
            <w:tcW w:w="430" w:type="dxa"/>
            <w:tcBorders>
              <w:top w:val="nil"/>
              <w:left w:val="nil"/>
              <w:bottom w:val="single" w:color="auto" w:sz="4" w:space="0"/>
              <w:right w:val="nil"/>
            </w:tcBorders>
            <w:shd w:val="clear" w:color="auto" w:fill="FFFFFF"/>
            <w:tcMar>
              <w:top w:w="15" w:type="dxa"/>
              <w:left w:w="15" w:type="dxa"/>
              <w:right w:w="15" w:type="dxa"/>
            </w:tcMar>
            <w:vAlign w:val="center"/>
          </w:tcPr>
          <w:p>
            <w:pPr>
              <w:adjustRightInd w:val="0"/>
              <w:snapToGrid w:val="0"/>
              <w:spacing w:line="400" w:lineRule="exact"/>
              <w:jc w:val="left"/>
              <w:rPr>
                <w:rFonts w:ascii="宋体" w:hAnsi="宋体"/>
                <w:color w:val="000000"/>
                <w:kern w:val="0"/>
                <w:sz w:val="18"/>
                <w:szCs w:val="18"/>
              </w:rPr>
            </w:pPr>
          </w:p>
        </w:tc>
        <w:tc>
          <w:tcPr>
            <w:tcW w:w="1630" w:type="dxa"/>
            <w:tcBorders>
              <w:top w:val="nil"/>
              <w:left w:val="nil"/>
              <w:bottom w:val="single" w:color="auto" w:sz="4" w:space="0"/>
            </w:tcBorders>
            <w:shd w:val="clear" w:color="auto" w:fill="FFFFFF"/>
            <w:tcMar>
              <w:top w:w="15" w:type="dxa"/>
              <w:left w:w="15" w:type="dxa"/>
              <w:right w:w="15" w:type="dxa"/>
            </w:tcMar>
            <w:vAlign w:val="center"/>
          </w:tcPr>
          <w:p>
            <w:pPr>
              <w:adjustRightInd w:val="0"/>
              <w:snapToGrid w:val="0"/>
              <w:spacing w:line="400" w:lineRule="exact"/>
              <w:jc w:val="right"/>
              <w:textAlignment w:val="center"/>
              <w:rPr>
                <w:rFonts w:ascii="宋体" w:hAnsi="宋体"/>
                <w:color w:val="000000"/>
                <w:kern w:val="0"/>
                <w:sz w:val="22"/>
                <w:szCs w:val="22"/>
              </w:rPr>
            </w:pPr>
            <w:r>
              <w:rPr>
                <w:rFonts w:hint="eastAsia" w:ascii="宋体" w:hAnsi="宋体"/>
                <w:color w:val="000000"/>
                <w:kern w:val="0"/>
                <w:sz w:val="22"/>
                <w:szCs w:val="22"/>
              </w:rPr>
              <w:t>金额单位：万元</w:t>
            </w:r>
          </w:p>
        </w:tc>
      </w:tr>
      <w:tr>
        <w:tblPrEx>
          <w:tblLayout w:type="fixed"/>
          <w:tblCellMar>
            <w:top w:w="0" w:type="dxa"/>
            <w:left w:w="0" w:type="dxa"/>
            <w:bottom w:w="0" w:type="dxa"/>
            <w:right w:w="0" w:type="dxa"/>
          </w:tblCellMar>
        </w:tblPrEx>
        <w:trPr>
          <w:trHeight w:val="55" w:hRule="atLeast"/>
        </w:trPr>
        <w:tc>
          <w:tcPr>
            <w:tcW w:w="5090" w:type="dxa"/>
            <w:gridSpan w:val="3"/>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收入</w:t>
            </w:r>
          </w:p>
        </w:tc>
        <w:tc>
          <w:tcPr>
            <w:tcW w:w="5090" w:type="dxa"/>
            <w:gridSpan w:val="3"/>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支出</w:t>
            </w:r>
          </w:p>
        </w:tc>
      </w:tr>
      <w:tr>
        <w:tblPrEx>
          <w:tblLayout w:type="fixed"/>
          <w:tblCellMar>
            <w:top w:w="0" w:type="dxa"/>
            <w:left w:w="0" w:type="dxa"/>
            <w:bottom w:w="0" w:type="dxa"/>
            <w:right w:w="0" w:type="dxa"/>
          </w:tblCellMar>
        </w:tblPrEx>
        <w:trPr>
          <w:trHeight w:val="93" w:hRule="atLeast"/>
        </w:trPr>
        <w:tc>
          <w:tcPr>
            <w:tcW w:w="30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项目</w:t>
            </w:r>
          </w:p>
        </w:tc>
        <w:tc>
          <w:tcPr>
            <w:tcW w:w="4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行次</w:t>
            </w:r>
          </w:p>
        </w:tc>
        <w:tc>
          <w:tcPr>
            <w:tcW w:w="16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金额</w:t>
            </w:r>
          </w:p>
        </w:tc>
        <w:tc>
          <w:tcPr>
            <w:tcW w:w="30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项目</w:t>
            </w:r>
          </w:p>
        </w:tc>
        <w:tc>
          <w:tcPr>
            <w:tcW w:w="4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行次</w:t>
            </w:r>
          </w:p>
        </w:tc>
        <w:tc>
          <w:tcPr>
            <w:tcW w:w="16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金额</w:t>
            </w:r>
          </w:p>
        </w:tc>
      </w:tr>
      <w:tr>
        <w:tblPrEx>
          <w:tblLayout w:type="fixed"/>
          <w:tblCellMar>
            <w:top w:w="0" w:type="dxa"/>
            <w:left w:w="0" w:type="dxa"/>
            <w:bottom w:w="0" w:type="dxa"/>
            <w:right w:w="0" w:type="dxa"/>
          </w:tblCellMar>
        </w:tblPrEx>
        <w:trPr>
          <w:trHeight w:val="55" w:hRule="atLeast"/>
        </w:trPr>
        <w:tc>
          <w:tcPr>
            <w:tcW w:w="30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栏次</w:t>
            </w:r>
          </w:p>
        </w:tc>
        <w:tc>
          <w:tcPr>
            <w:tcW w:w="4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16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1</w:t>
            </w:r>
          </w:p>
        </w:tc>
        <w:tc>
          <w:tcPr>
            <w:tcW w:w="30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栏次</w:t>
            </w:r>
          </w:p>
        </w:tc>
        <w:tc>
          <w:tcPr>
            <w:tcW w:w="4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1630"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2</w:t>
            </w:r>
          </w:p>
        </w:tc>
      </w:tr>
      <w:tr>
        <w:tblPrEx>
          <w:tblLayout w:type="fixed"/>
          <w:tblCellMar>
            <w:top w:w="0" w:type="dxa"/>
            <w:left w:w="0" w:type="dxa"/>
            <w:bottom w:w="0" w:type="dxa"/>
            <w:right w:w="0" w:type="dxa"/>
          </w:tblCellMar>
        </w:tblPrEx>
        <w:trPr>
          <w:trHeight w:val="300" w:hRule="atLeast"/>
        </w:trPr>
        <w:tc>
          <w:tcPr>
            <w:tcW w:w="3030" w:type="dxa"/>
            <w:tcBorders>
              <w:top w:val="single" w:color="auto"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430" w:type="dxa"/>
            <w:tcBorders>
              <w:top w:val="single" w:color="auto" w:sz="4" w:space="0"/>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w:t>
            </w:r>
          </w:p>
        </w:tc>
        <w:tc>
          <w:tcPr>
            <w:tcW w:w="1630" w:type="dxa"/>
            <w:tcBorders>
              <w:top w:val="single" w:color="auto"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1981.86</w:t>
            </w:r>
          </w:p>
        </w:tc>
        <w:tc>
          <w:tcPr>
            <w:tcW w:w="3030" w:type="dxa"/>
            <w:tcBorders>
              <w:top w:val="single" w:color="auto" w:sz="4" w:space="0"/>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一、一般公共服务支出</w:t>
            </w:r>
          </w:p>
        </w:tc>
        <w:tc>
          <w:tcPr>
            <w:tcW w:w="430" w:type="dxa"/>
            <w:tcBorders>
              <w:top w:val="single" w:color="auto" w:sz="4" w:space="0"/>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32</w:t>
            </w:r>
          </w:p>
        </w:tc>
        <w:tc>
          <w:tcPr>
            <w:tcW w:w="1630" w:type="dxa"/>
            <w:tcBorders>
              <w:top w:val="single" w:color="auto"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二、外交支出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33</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三、国防支出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34</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四、上级补助收入</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四、公共安全支出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35</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2026.19</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五、事业收入</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五、教育支出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36</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六、经营收入</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6</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六、科学技术支出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37</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七、附属单位上缴收入</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7</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38</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八、其他收入</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8</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289.88</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八、社会保障和就业支出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39</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105.58</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9</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九、卫生健康支出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40</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83.7</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10</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十、节能环保支出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41</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11</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十一、城乡社区支出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42</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12</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十二、农林水支出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43</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13</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十三、交通运输支出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44</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14</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45</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15</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十五、商业服务业等支出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46</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16</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十六、金融支出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47</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17</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十七、援助其他地区支出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48</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18</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49</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19</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十九、住房保障支出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50</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103.44</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20</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二十、粮油物资储备支出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51</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21</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52</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22</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53</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23</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二十三、其他支出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54</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b/>
                <w:bCs/>
                <w:kern w:val="0"/>
                <w:sz w:val="20"/>
                <w:szCs w:val="20"/>
              </w:rPr>
            </w:pPr>
            <w:r>
              <w:rPr>
                <w:rFonts w:hint="eastAsia" w:ascii="宋体" w:hAnsi="宋体" w:cs="Arial"/>
                <w:b/>
                <w:bCs/>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24</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二十四、债务还本支出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55</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25</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二十五、债务付息支出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56</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26</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57</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27</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2271.74</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58</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2318.91</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使用非财政拨款结余</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28</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结余分配</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59</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年初结转和结余</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29</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71.35</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年末结转和结余</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60</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24.18</w:t>
            </w:r>
          </w:p>
        </w:tc>
      </w:tr>
      <w:tr>
        <w:tblPrEx>
          <w:tblLayout w:type="fixed"/>
          <w:tblCellMar>
            <w:top w:w="0" w:type="dxa"/>
            <w:left w:w="0" w:type="dxa"/>
            <w:bottom w:w="0" w:type="dxa"/>
            <w:right w:w="0" w:type="dxa"/>
          </w:tblCellMar>
        </w:tblPrEx>
        <w:trPr>
          <w:trHeight w:val="131"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30</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61</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0" w:type="dxa"/>
            <w:bottom w:w="0" w:type="dxa"/>
            <w:right w:w="0" w:type="dxa"/>
          </w:tblCellMar>
        </w:tblPrEx>
        <w:trPr>
          <w:trHeight w:val="300" w:hRule="atLeast"/>
        </w:trPr>
        <w:tc>
          <w:tcPr>
            <w:tcW w:w="30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b/>
                <w:bCs/>
                <w:kern w:val="0"/>
                <w:sz w:val="20"/>
                <w:szCs w:val="20"/>
              </w:rPr>
            </w:pPr>
            <w:r>
              <w:rPr>
                <w:rFonts w:hint="eastAsia" w:ascii="宋体" w:hAnsi="宋体" w:cs="Arial"/>
                <w:b/>
                <w:bCs/>
                <w:kern w:val="0"/>
                <w:sz w:val="20"/>
                <w:szCs w:val="20"/>
              </w:rPr>
              <w:t>总计</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31</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2343.09</w:t>
            </w:r>
          </w:p>
        </w:tc>
        <w:tc>
          <w:tcPr>
            <w:tcW w:w="3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ascii="宋体" w:hAnsi="宋体" w:cs="Arial"/>
                <w:b/>
                <w:bCs/>
                <w:kern w:val="0"/>
                <w:sz w:val="20"/>
                <w:szCs w:val="20"/>
              </w:rPr>
            </w:pPr>
            <w:r>
              <w:rPr>
                <w:rFonts w:hint="eastAsia" w:ascii="宋体" w:hAnsi="宋体" w:cs="Arial"/>
                <w:b/>
                <w:bCs/>
                <w:kern w:val="0"/>
                <w:sz w:val="20"/>
                <w:szCs w:val="20"/>
              </w:rPr>
              <w:t>总计</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s="Arial"/>
                <w:kern w:val="0"/>
                <w:sz w:val="20"/>
                <w:szCs w:val="20"/>
              </w:rPr>
            </w:pPr>
            <w:r>
              <w:rPr>
                <w:rFonts w:ascii="宋体" w:hAnsi="宋体" w:cs="Arial"/>
                <w:kern w:val="0"/>
                <w:sz w:val="20"/>
                <w:szCs w:val="20"/>
              </w:rPr>
              <w:t>62</w:t>
            </w:r>
          </w:p>
        </w:tc>
        <w:tc>
          <w:tcPr>
            <w:tcW w:w="16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Arial"/>
                <w:kern w:val="0"/>
                <w:sz w:val="20"/>
                <w:szCs w:val="20"/>
              </w:rPr>
            </w:pPr>
            <w:r>
              <w:rPr>
                <w:rFonts w:ascii="宋体" w:hAnsi="宋体" w:cs="Arial"/>
                <w:kern w:val="0"/>
                <w:sz w:val="20"/>
                <w:szCs w:val="20"/>
              </w:rPr>
              <w:t>2343.09</w:t>
            </w:r>
          </w:p>
        </w:tc>
      </w:tr>
      <w:tr>
        <w:tblPrEx>
          <w:tblLayout w:type="fixed"/>
          <w:tblCellMar>
            <w:top w:w="0" w:type="dxa"/>
            <w:left w:w="0" w:type="dxa"/>
            <w:bottom w:w="0" w:type="dxa"/>
            <w:right w:w="0" w:type="dxa"/>
          </w:tblCellMar>
        </w:tblPrEx>
        <w:trPr>
          <w:trHeight w:val="300" w:hRule="atLeast"/>
        </w:trPr>
        <w:tc>
          <w:tcPr>
            <w:tcW w:w="10180" w:type="dxa"/>
            <w:gridSpan w:val="6"/>
            <w:tcBorders>
              <w:top w:val="nil"/>
              <w:left w:val="nil"/>
              <w:bottom w:val="nil"/>
              <w:right w:val="nil"/>
            </w:tcBorders>
            <w:shd w:val="clear" w:color="auto" w:fill="FFFFFF"/>
            <w:tcMar>
              <w:top w:w="15" w:type="dxa"/>
              <w:left w:w="15" w:type="dxa"/>
              <w:right w:w="15" w:type="dxa"/>
            </w:tcMar>
            <w:vAlign w:val="center"/>
          </w:tcPr>
          <w:p>
            <w:pPr>
              <w:jc w:val="left"/>
              <w:textAlignment w:val="center"/>
              <w:rPr>
                <w:rFonts w:ascii="宋体" w:hAnsi="宋体"/>
                <w:color w:val="000000"/>
                <w:kern w:val="0"/>
                <w:sz w:val="20"/>
                <w:szCs w:val="20"/>
              </w:rPr>
            </w:pPr>
            <w:r>
              <w:rPr>
                <w:rFonts w:hint="eastAsia" w:ascii="宋体" w:hAnsi="宋体"/>
                <w:color w:val="000000"/>
                <w:kern w:val="0"/>
                <w:sz w:val="20"/>
                <w:szCs w:val="20"/>
              </w:rPr>
              <w:t>注：本表反映部门本年度的总收支和年末结转结余情况。本套报表金额单位转换时可能存在尾数误差。</w:t>
            </w:r>
          </w:p>
        </w:tc>
      </w:tr>
    </w:tbl>
    <w:p>
      <w:pPr>
        <w:pStyle w:val="13"/>
        <w:adjustRightInd w:val="0"/>
        <w:snapToGrid w:val="0"/>
        <w:spacing w:beforeLines="250" w:beforeAutospacing="0"/>
        <w:outlineLvl w:val="1"/>
        <w:rPr>
          <w:shd w:val="clear" w:color="auto" w:fill="FFFFFF"/>
        </w:rPr>
        <w:sectPr>
          <w:footerReference r:id="rId10" w:type="default"/>
          <w:pgSz w:w="11915" w:h="16851"/>
          <w:pgMar w:top="1440" w:right="1800" w:bottom="1440" w:left="1800" w:header="851" w:footer="992" w:gutter="0"/>
          <w:pgNumType w:start="1"/>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7" w:name="_Toc17035"/>
      <w:r>
        <w:rPr>
          <w:rFonts w:hint="eastAsia" w:ascii="楷体_GB2312" w:hAnsi="楷体" w:eastAsia="楷体_GB2312" w:cs="楷体"/>
          <w:sz w:val="32"/>
          <w:szCs w:val="32"/>
          <w:shd w:val="clear" w:color="auto" w:fill="FFFFFF"/>
        </w:rPr>
        <w:t>二、收入决算表</w:t>
      </w:r>
      <w:bookmarkEnd w:id="7"/>
    </w:p>
    <w:tbl>
      <w:tblPr>
        <w:tblStyle w:val="19"/>
        <w:tblW w:w="13489" w:type="dxa"/>
        <w:tblInd w:w="93" w:type="dxa"/>
        <w:tblLayout w:type="fixed"/>
        <w:tblCellMar>
          <w:top w:w="0" w:type="dxa"/>
          <w:left w:w="108" w:type="dxa"/>
          <w:bottom w:w="0" w:type="dxa"/>
          <w:right w:w="108" w:type="dxa"/>
        </w:tblCellMar>
      </w:tblPr>
      <w:tblGrid>
        <w:gridCol w:w="360"/>
        <w:gridCol w:w="360"/>
        <w:gridCol w:w="429"/>
        <w:gridCol w:w="50"/>
        <w:gridCol w:w="4203"/>
        <w:gridCol w:w="50"/>
        <w:gridCol w:w="1367"/>
        <w:gridCol w:w="50"/>
        <w:gridCol w:w="1226"/>
        <w:gridCol w:w="50"/>
        <w:gridCol w:w="800"/>
        <w:gridCol w:w="50"/>
        <w:gridCol w:w="801"/>
        <w:gridCol w:w="50"/>
        <w:gridCol w:w="658"/>
        <w:gridCol w:w="50"/>
        <w:gridCol w:w="1085"/>
        <w:gridCol w:w="50"/>
        <w:gridCol w:w="1750"/>
        <w:gridCol w:w="50"/>
      </w:tblGrid>
      <w:tr>
        <w:tblPrEx>
          <w:tblLayout w:type="fixed"/>
          <w:tblCellMar>
            <w:top w:w="0" w:type="dxa"/>
            <w:left w:w="108" w:type="dxa"/>
            <w:bottom w:w="0" w:type="dxa"/>
            <w:right w:w="108" w:type="dxa"/>
          </w:tblCellMar>
        </w:tblPrEx>
        <w:trPr>
          <w:trHeight w:val="300" w:hRule="atLeast"/>
        </w:trPr>
        <w:tc>
          <w:tcPr>
            <w:tcW w:w="36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36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479"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4253"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417"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276"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850"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851"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708"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135"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gridSpan w:val="2"/>
            <w:tcBorders>
              <w:top w:val="nil"/>
              <w:left w:val="nil"/>
              <w:bottom w:val="nil"/>
            </w:tcBorders>
            <w:shd w:val="clear" w:color="000000" w:fill="FFFFFF"/>
            <w:vAlign w:val="center"/>
          </w:tcPr>
          <w:p>
            <w:pPr>
              <w:jc w:val="right"/>
              <w:rPr>
                <w:rFonts w:ascii="宋体" w:hAns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02</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gridAfter w:val="1"/>
          <w:wAfter w:w="50" w:type="dxa"/>
          <w:trHeight w:val="300" w:hRule="atLeast"/>
        </w:trPr>
        <w:tc>
          <w:tcPr>
            <w:tcW w:w="5402" w:type="dxa"/>
            <w:gridSpan w:val="5"/>
            <w:tcBorders>
              <w:top w:val="nil"/>
              <w:left w:val="nil"/>
              <w:bottom w:val="single" w:color="808080" w:sz="4" w:space="0"/>
              <w:right w:val="nil"/>
            </w:tcBorders>
            <w:shd w:val="clear" w:color="000000" w:fill="FFFFFF"/>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部门：涟源市人民检察院</w:t>
            </w:r>
          </w:p>
        </w:tc>
        <w:tc>
          <w:tcPr>
            <w:tcW w:w="1417" w:type="dxa"/>
            <w:gridSpan w:val="2"/>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276" w:type="dxa"/>
            <w:gridSpan w:val="2"/>
            <w:tcBorders>
              <w:top w:val="nil"/>
              <w:left w:val="nil"/>
              <w:bottom w:val="single" w:color="808080" w:sz="4" w:space="0"/>
              <w:right w:val="nil"/>
            </w:tcBorders>
            <w:shd w:val="clear" w:color="000000" w:fill="FFFFFF"/>
            <w:vAlign w:val="center"/>
          </w:tcPr>
          <w:p>
            <w:pPr>
              <w:jc w:val="center"/>
              <w:rPr>
                <w:rFonts w:ascii="宋体" w:hAnsi="宋体" w:cs="Arial"/>
                <w:color w:val="000000"/>
                <w:kern w:val="0"/>
                <w:sz w:val="22"/>
                <w:szCs w:val="22"/>
              </w:rPr>
            </w:pPr>
            <w:r>
              <w:rPr>
                <w:rFonts w:ascii="宋体" w:hAnsi="宋体" w:cs="Arial"/>
                <w:color w:val="000000"/>
                <w:kern w:val="0"/>
                <w:sz w:val="22"/>
                <w:szCs w:val="22"/>
              </w:rPr>
              <w:t>2020</w:t>
            </w:r>
            <w:r>
              <w:rPr>
                <w:rFonts w:hint="eastAsia" w:ascii="宋体" w:hAnsi="宋体" w:cs="Arial"/>
                <w:color w:val="000000"/>
                <w:kern w:val="0"/>
                <w:sz w:val="22"/>
                <w:szCs w:val="22"/>
              </w:rPr>
              <w:t>年度</w:t>
            </w:r>
          </w:p>
        </w:tc>
        <w:tc>
          <w:tcPr>
            <w:tcW w:w="850" w:type="dxa"/>
            <w:gridSpan w:val="2"/>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851" w:type="dxa"/>
            <w:gridSpan w:val="2"/>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708" w:type="dxa"/>
            <w:gridSpan w:val="2"/>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135" w:type="dxa"/>
            <w:gridSpan w:val="2"/>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gridSpan w:val="2"/>
            <w:tcBorders>
              <w:top w:val="nil"/>
              <w:left w:val="nil"/>
              <w:bottom w:val="single" w:color="auto" w:sz="4" w:space="0"/>
            </w:tcBorders>
            <w:shd w:val="clear" w:color="000000" w:fill="FFFFFF"/>
            <w:vAlign w:val="center"/>
          </w:tcPr>
          <w:p>
            <w:pPr>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tblPrEx>
          <w:tblLayout w:type="fixed"/>
          <w:tblCellMar>
            <w:top w:w="0" w:type="dxa"/>
            <w:left w:w="108" w:type="dxa"/>
            <w:bottom w:w="0" w:type="dxa"/>
            <w:right w:w="108" w:type="dxa"/>
          </w:tblCellMar>
        </w:tblPrEx>
        <w:trPr>
          <w:gridAfter w:val="1"/>
          <w:wAfter w:w="50" w:type="dxa"/>
          <w:trHeight w:val="300" w:hRule="atLeast"/>
        </w:trPr>
        <w:tc>
          <w:tcPr>
            <w:tcW w:w="5402" w:type="dxa"/>
            <w:gridSpan w:val="5"/>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项目</w:t>
            </w:r>
          </w:p>
        </w:tc>
        <w:tc>
          <w:tcPr>
            <w:tcW w:w="1417"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本年收入合计</w:t>
            </w:r>
          </w:p>
        </w:tc>
        <w:tc>
          <w:tcPr>
            <w:tcW w:w="1276"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财政拨款收入</w:t>
            </w:r>
          </w:p>
        </w:tc>
        <w:tc>
          <w:tcPr>
            <w:tcW w:w="85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上级补助收入</w:t>
            </w:r>
          </w:p>
        </w:tc>
        <w:tc>
          <w:tcPr>
            <w:tcW w:w="851"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事业收入</w:t>
            </w:r>
          </w:p>
        </w:tc>
        <w:tc>
          <w:tcPr>
            <w:tcW w:w="708"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经营收入</w:t>
            </w:r>
          </w:p>
        </w:tc>
        <w:tc>
          <w:tcPr>
            <w:tcW w:w="1135" w:type="dxa"/>
            <w:gridSpan w:val="2"/>
            <w:vMerge w:val="restart"/>
            <w:tcBorders>
              <w:top w:val="nil"/>
              <w:left w:val="nil"/>
              <w:bottom w:val="single" w:color="000000"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附属单位上缴收入</w:t>
            </w:r>
          </w:p>
        </w:tc>
        <w:tc>
          <w:tcPr>
            <w:tcW w:w="1800" w:type="dxa"/>
            <w:gridSpan w:val="2"/>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其他收入</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功能分类科目编码</w:t>
            </w:r>
          </w:p>
        </w:tc>
        <w:tc>
          <w:tcPr>
            <w:tcW w:w="4253"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科目名称</w:t>
            </w:r>
          </w:p>
        </w:tc>
        <w:tc>
          <w:tcPr>
            <w:tcW w:w="1417"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276"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850"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851"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08"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135" w:type="dxa"/>
            <w:gridSpan w:val="2"/>
            <w:vMerge w:val="continue"/>
            <w:tcBorders>
              <w:top w:val="nil"/>
              <w:left w:val="nil"/>
              <w:bottom w:val="single" w:color="000000" w:sz="4" w:space="0"/>
              <w:right w:val="single" w:color="auto" w:sz="4" w:space="0"/>
            </w:tcBorders>
            <w:vAlign w:val="center"/>
          </w:tcPr>
          <w:p>
            <w:pPr>
              <w:jc w:val="left"/>
              <w:rPr>
                <w:rFonts w:ascii="宋体" w:hAnsi="宋体" w:cs="Arial"/>
                <w:kern w:val="0"/>
                <w:sz w:val="20"/>
                <w:szCs w:val="20"/>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4253"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417"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276"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850"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851"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08"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135" w:type="dxa"/>
            <w:gridSpan w:val="2"/>
            <w:vMerge w:val="continue"/>
            <w:tcBorders>
              <w:top w:val="nil"/>
              <w:left w:val="nil"/>
              <w:bottom w:val="single" w:color="000000" w:sz="4" w:space="0"/>
              <w:right w:val="single" w:color="auto" w:sz="4" w:space="0"/>
            </w:tcBorders>
            <w:vAlign w:val="center"/>
          </w:tcPr>
          <w:p>
            <w:pPr>
              <w:jc w:val="left"/>
              <w:rPr>
                <w:rFonts w:ascii="宋体" w:hAnsi="宋体" w:cs="Arial"/>
                <w:kern w:val="0"/>
                <w:sz w:val="20"/>
                <w:szCs w:val="20"/>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gridAfter w:val="1"/>
          <w:wAfter w:w="50" w:type="dxa"/>
          <w:trHeight w:val="259" w:hRule="atLeast"/>
        </w:trPr>
        <w:tc>
          <w:tcPr>
            <w:tcW w:w="1149" w:type="dxa"/>
            <w:gridSpan w:val="3"/>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4253"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417"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276"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850"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851"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08"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135" w:type="dxa"/>
            <w:gridSpan w:val="2"/>
            <w:vMerge w:val="continue"/>
            <w:tcBorders>
              <w:top w:val="nil"/>
              <w:left w:val="nil"/>
              <w:bottom w:val="single" w:color="000000" w:sz="4" w:space="0"/>
              <w:right w:val="single" w:color="auto" w:sz="4" w:space="0"/>
            </w:tcBorders>
            <w:vAlign w:val="center"/>
          </w:tcPr>
          <w:p>
            <w:pPr>
              <w:jc w:val="left"/>
              <w:rPr>
                <w:rFonts w:ascii="宋体" w:hAnsi="宋体" w:cs="Arial"/>
                <w:kern w:val="0"/>
                <w:sz w:val="20"/>
                <w:szCs w:val="20"/>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gridAfter w:val="1"/>
          <w:wAfter w:w="50" w:type="dxa"/>
          <w:trHeight w:val="300" w:hRule="atLeast"/>
        </w:trPr>
        <w:tc>
          <w:tcPr>
            <w:tcW w:w="5402" w:type="dxa"/>
            <w:gridSpan w:val="5"/>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栏次</w:t>
            </w:r>
          </w:p>
        </w:tc>
        <w:tc>
          <w:tcPr>
            <w:tcW w:w="1417"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w:t>
            </w:r>
          </w:p>
        </w:tc>
        <w:tc>
          <w:tcPr>
            <w:tcW w:w="1276"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w:t>
            </w:r>
          </w:p>
        </w:tc>
        <w:tc>
          <w:tcPr>
            <w:tcW w:w="85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w:t>
            </w:r>
          </w:p>
        </w:tc>
        <w:tc>
          <w:tcPr>
            <w:tcW w:w="851"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w:t>
            </w:r>
          </w:p>
        </w:tc>
        <w:tc>
          <w:tcPr>
            <w:tcW w:w="708"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w:t>
            </w:r>
          </w:p>
        </w:tc>
        <w:tc>
          <w:tcPr>
            <w:tcW w:w="1135"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w:t>
            </w:r>
          </w:p>
        </w:tc>
        <w:tc>
          <w:tcPr>
            <w:tcW w:w="1800" w:type="dxa"/>
            <w:gridSpan w:val="2"/>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7</w:t>
            </w:r>
          </w:p>
        </w:tc>
      </w:tr>
      <w:tr>
        <w:tblPrEx>
          <w:tblLayout w:type="fixed"/>
          <w:tblCellMar>
            <w:top w:w="0" w:type="dxa"/>
            <w:left w:w="108" w:type="dxa"/>
            <w:bottom w:w="0" w:type="dxa"/>
            <w:right w:w="108" w:type="dxa"/>
          </w:tblCellMar>
        </w:tblPrEx>
        <w:trPr>
          <w:gridAfter w:val="1"/>
          <w:wAfter w:w="50" w:type="dxa"/>
          <w:trHeight w:val="300" w:hRule="atLeast"/>
        </w:trPr>
        <w:tc>
          <w:tcPr>
            <w:tcW w:w="5402" w:type="dxa"/>
            <w:gridSpan w:val="5"/>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合计</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2271.74</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1981.86</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289.88</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204</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1979.02</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1709.14</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269.88</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20404</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检察</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1979.02</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1709.14</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269.88</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2040401</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1615.53</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1364.14</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251.39</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2040402</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一般行政管理事务</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352.49</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334</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18.49</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2040410</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检察监督</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208</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社会保障和就业支出</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105.58</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95.58</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20805</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行政事业单位养老支出</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94.28</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89.28</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5</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2080505</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机关事业单位基本养老保险缴费支出</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b/>
                <w:bCs/>
                <w:kern w:val="0"/>
                <w:sz w:val="20"/>
                <w:szCs w:val="20"/>
              </w:rPr>
              <w:t>94.28</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b/>
                <w:bCs/>
                <w:kern w:val="0"/>
                <w:sz w:val="20"/>
                <w:szCs w:val="20"/>
              </w:rPr>
              <w:t>89.28</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20899</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其他社会保障和就业支出</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11.3</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6.3</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5</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2089901</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其他社会保障和就业支出</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b/>
                <w:bCs/>
                <w:kern w:val="0"/>
                <w:sz w:val="20"/>
                <w:szCs w:val="20"/>
              </w:rPr>
              <w:t>11.3</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b/>
                <w:bCs/>
                <w:kern w:val="0"/>
                <w:sz w:val="20"/>
                <w:szCs w:val="20"/>
              </w:rPr>
              <w:t>6.3</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210</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卫生健康支出</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83.7</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73.7</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21011</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行政事业单位医疗</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83.7</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73.7</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2101101</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行政单位医疗</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49.64</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44.64</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2101103</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34.06</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29.06</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221</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住房保障支出</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22102</w:t>
            </w:r>
          </w:p>
        </w:tc>
        <w:tc>
          <w:tcPr>
            <w:tcW w:w="4253"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住房改革支出</w:t>
            </w:r>
          </w:p>
        </w:tc>
        <w:tc>
          <w:tcPr>
            <w:tcW w:w="1417"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1276"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85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851"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8"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135"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gridSpan w:val="2"/>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gridAfter w:val="1"/>
          <w:wAfter w:w="50" w:type="dxa"/>
          <w:trHeight w:val="300" w:hRule="atLeast"/>
        </w:trPr>
        <w:tc>
          <w:tcPr>
            <w:tcW w:w="1149"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2210201</w:t>
            </w:r>
          </w:p>
        </w:tc>
        <w:tc>
          <w:tcPr>
            <w:tcW w:w="4253"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417"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b/>
                <w:bCs/>
                <w:kern w:val="0"/>
                <w:sz w:val="20"/>
                <w:szCs w:val="20"/>
              </w:rPr>
              <w:t>103.44</w:t>
            </w:r>
          </w:p>
        </w:tc>
        <w:tc>
          <w:tcPr>
            <w:tcW w:w="1276"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b/>
                <w:bCs/>
                <w:kern w:val="0"/>
                <w:sz w:val="20"/>
                <w:szCs w:val="20"/>
              </w:rPr>
              <w:t>103.44</w:t>
            </w:r>
          </w:p>
        </w:tc>
        <w:tc>
          <w:tcPr>
            <w:tcW w:w="85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85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8"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135"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1"/>
          <w:wAfter w:w="50" w:type="dxa"/>
          <w:trHeight w:val="300" w:hRule="atLeast"/>
        </w:trPr>
        <w:tc>
          <w:tcPr>
            <w:tcW w:w="13439" w:type="dxa"/>
            <w:gridSpan w:val="19"/>
            <w:tcBorders>
              <w:top w:val="nil"/>
              <w:left w:val="nil"/>
              <w:bottom w:val="nil"/>
              <w:right w:val="nil"/>
            </w:tcBorders>
            <w:shd w:val="clear" w:color="000000" w:fill="FFFFFF"/>
            <w:vAlign w:val="center"/>
          </w:tcPr>
          <w:p>
            <w:pPr>
              <w:jc w:val="left"/>
              <w:rPr>
                <w:rFonts w:ascii="宋体" w:hAnsi="宋体" w:cs="Arial"/>
                <w:kern w:val="0"/>
                <w:sz w:val="20"/>
                <w:szCs w:val="20"/>
              </w:rPr>
            </w:pPr>
            <w:r>
              <w:rPr>
                <w:rFonts w:hint="eastAsia" w:ascii="宋体" w:hAnsi="宋体" w:cs="Arial"/>
                <w:kern w:val="0"/>
                <w:sz w:val="20"/>
                <w:szCs w:val="20"/>
              </w:rPr>
              <w:t>注：本表反映部门本年度取得的各项收入情况。</w:t>
            </w:r>
          </w:p>
        </w:tc>
      </w:tr>
    </w:tbl>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outlineLvl w:val="1"/>
        <w:rPr>
          <w:shd w:val="clear" w:color="auto" w:fill="FFFFFF"/>
        </w:rPr>
        <w:sectPr>
          <w:pgSz w:w="16851" w:h="11915" w:orient="landscape"/>
          <w:pgMar w:top="1800" w:right="1440" w:bottom="1800" w:left="1440" w:header="851" w:footer="992" w:gutter="0"/>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8" w:name="_Toc6985"/>
      <w:r>
        <w:rPr>
          <w:rFonts w:hint="eastAsia" w:ascii="楷体_GB2312" w:hAnsi="楷体" w:eastAsia="楷体_GB2312" w:cs="楷体"/>
          <w:sz w:val="32"/>
          <w:szCs w:val="32"/>
          <w:shd w:val="clear" w:color="auto" w:fill="FFFFFF"/>
        </w:rPr>
        <w:t>三、支出决算表</w:t>
      </w:r>
      <w:bookmarkEnd w:id="8"/>
    </w:p>
    <w:tbl>
      <w:tblPr>
        <w:tblStyle w:val="19"/>
        <w:tblW w:w="13723" w:type="dxa"/>
        <w:tblInd w:w="93" w:type="dxa"/>
        <w:tblLayout w:type="fixed"/>
        <w:tblCellMar>
          <w:top w:w="0" w:type="dxa"/>
          <w:left w:w="108" w:type="dxa"/>
          <w:bottom w:w="0" w:type="dxa"/>
          <w:right w:w="108" w:type="dxa"/>
        </w:tblCellMar>
      </w:tblPr>
      <w:tblGrid>
        <w:gridCol w:w="340"/>
        <w:gridCol w:w="340"/>
        <w:gridCol w:w="340"/>
        <w:gridCol w:w="4030"/>
        <w:gridCol w:w="1800"/>
        <w:gridCol w:w="1800"/>
        <w:gridCol w:w="1800"/>
        <w:gridCol w:w="764"/>
        <w:gridCol w:w="709"/>
        <w:gridCol w:w="1800"/>
      </w:tblGrid>
      <w:tr>
        <w:tblPrEx>
          <w:tblLayout w:type="fixed"/>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34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403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764"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709"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tcBorders>
            <w:shd w:val="clear" w:color="000000" w:fill="FFFFFF"/>
            <w:vAlign w:val="center"/>
          </w:tcPr>
          <w:p>
            <w:pPr>
              <w:jc w:val="right"/>
              <w:rPr>
                <w:rFonts w:ascii="宋体" w:hAns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03</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trPr>
        <w:tc>
          <w:tcPr>
            <w:tcW w:w="5050" w:type="dxa"/>
            <w:gridSpan w:val="4"/>
            <w:tcBorders>
              <w:top w:val="nil"/>
              <w:left w:val="nil"/>
              <w:bottom w:val="single" w:color="808080" w:sz="4" w:space="0"/>
              <w:right w:val="nil"/>
            </w:tcBorders>
            <w:shd w:val="clear" w:color="000000" w:fill="FFFFFF"/>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部门：涟源市人民检察院</w:t>
            </w:r>
          </w:p>
        </w:tc>
        <w:tc>
          <w:tcPr>
            <w:tcW w:w="1800" w:type="dxa"/>
            <w:tcBorders>
              <w:top w:val="nil"/>
              <w:left w:val="nil"/>
              <w:bottom w:val="single" w:color="808080" w:sz="4" w:space="0"/>
              <w:right w:val="nil"/>
            </w:tcBorders>
            <w:shd w:val="clear" w:color="000000" w:fill="FFFFFF"/>
            <w:vAlign w:val="center"/>
          </w:tcPr>
          <w:p>
            <w:pPr>
              <w:jc w:val="center"/>
              <w:rPr>
                <w:rFonts w:ascii="宋体" w:hAnsi="宋体" w:cs="Arial"/>
                <w:color w:val="000000"/>
                <w:kern w:val="0"/>
                <w:sz w:val="22"/>
                <w:szCs w:val="22"/>
              </w:rPr>
            </w:pPr>
            <w:r>
              <w:rPr>
                <w:rFonts w:ascii="宋体" w:hAnsi="宋体" w:cs="Arial"/>
                <w:color w:val="000000"/>
                <w:kern w:val="0"/>
                <w:sz w:val="22"/>
                <w:szCs w:val="22"/>
              </w:rPr>
              <w:t>2020</w:t>
            </w:r>
            <w:r>
              <w:rPr>
                <w:rFonts w:hint="eastAsia" w:ascii="宋体" w:hAnsi="宋体" w:cs="Arial"/>
                <w:color w:val="000000"/>
                <w:kern w:val="0"/>
                <w:sz w:val="22"/>
                <w:szCs w:val="22"/>
              </w:rPr>
              <w:t>年度</w:t>
            </w:r>
          </w:p>
        </w:tc>
        <w:tc>
          <w:tcPr>
            <w:tcW w:w="1800"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764"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709"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single" w:color="auto" w:sz="4" w:space="0"/>
            </w:tcBorders>
            <w:shd w:val="clear" w:color="000000" w:fill="FFFFFF"/>
            <w:vAlign w:val="center"/>
          </w:tcPr>
          <w:p>
            <w:pPr>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300" w:hRule="atLeast"/>
        </w:trPr>
        <w:tc>
          <w:tcPr>
            <w:tcW w:w="5050" w:type="dxa"/>
            <w:gridSpan w:val="4"/>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项目</w:t>
            </w:r>
          </w:p>
        </w:tc>
        <w:tc>
          <w:tcPr>
            <w:tcW w:w="180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本年支出合计</w:t>
            </w:r>
          </w:p>
        </w:tc>
        <w:tc>
          <w:tcPr>
            <w:tcW w:w="180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基本支出</w:t>
            </w:r>
          </w:p>
        </w:tc>
        <w:tc>
          <w:tcPr>
            <w:tcW w:w="180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项目支出</w:t>
            </w:r>
          </w:p>
        </w:tc>
        <w:tc>
          <w:tcPr>
            <w:tcW w:w="764"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上缴上级支出</w:t>
            </w:r>
          </w:p>
        </w:tc>
        <w:tc>
          <w:tcPr>
            <w:tcW w:w="709" w:type="dxa"/>
            <w:vMerge w:val="restart"/>
            <w:tcBorders>
              <w:top w:val="nil"/>
              <w:left w:val="nil"/>
              <w:bottom w:val="single" w:color="000000"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经营支出</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对附属单位补助支出</w:t>
            </w:r>
          </w:p>
        </w:tc>
      </w:tr>
      <w:tr>
        <w:tblPrEx>
          <w:tblLayout w:type="fixed"/>
          <w:tblCellMar>
            <w:top w:w="0" w:type="dxa"/>
            <w:left w:w="108" w:type="dxa"/>
            <w:bottom w:w="0" w:type="dxa"/>
            <w:right w:w="108" w:type="dxa"/>
          </w:tblCellMar>
        </w:tblPrEx>
        <w:trPr>
          <w:trHeight w:val="300"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功能分类科目编码</w:t>
            </w:r>
          </w:p>
        </w:tc>
        <w:tc>
          <w:tcPr>
            <w:tcW w:w="403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64"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09" w:type="dxa"/>
            <w:vMerge w:val="continue"/>
            <w:tcBorders>
              <w:top w:val="nil"/>
              <w:left w:val="nil"/>
              <w:bottom w:val="single" w:color="000000" w:sz="4" w:space="0"/>
              <w:right w:val="single" w:color="auto" w:sz="4" w:space="0"/>
            </w:tcBorders>
            <w:vAlign w:val="center"/>
          </w:tcPr>
          <w:p>
            <w:pPr>
              <w:jc w:val="left"/>
              <w:rPr>
                <w:rFonts w:ascii="宋体" w:hAnsi="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403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64"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09" w:type="dxa"/>
            <w:vMerge w:val="continue"/>
            <w:tcBorders>
              <w:top w:val="nil"/>
              <w:left w:val="nil"/>
              <w:bottom w:val="single" w:color="000000" w:sz="4" w:space="0"/>
              <w:right w:val="single" w:color="auto" w:sz="4" w:space="0"/>
            </w:tcBorders>
            <w:vAlign w:val="center"/>
          </w:tcPr>
          <w:p>
            <w:pPr>
              <w:jc w:val="left"/>
              <w:rPr>
                <w:rFonts w:ascii="宋体" w:hAnsi="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403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64"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709" w:type="dxa"/>
            <w:vMerge w:val="continue"/>
            <w:tcBorders>
              <w:top w:val="nil"/>
              <w:left w:val="nil"/>
              <w:bottom w:val="single" w:color="000000" w:sz="4" w:space="0"/>
              <w:right w:val="single" w:color="auto" w:sz="4" w:space="0"/>
            </w:tcBorders>
            <w:vAlign w:val="center"/>
          </w:tcPr>
          <w:p>
            <w:pPr>
              <w:jc w:val="left"/>
              <w:rPr>
                <w:rFonts w:ascii="宋体" w:hAnsi="宋体" w:cs="Arial"/>
                <w:kern w:val="0"/>
                <w:sz w:val="2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5050" w:type="dxa"/>
            <w:gridSpan w:val="4"/>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栏次</w:t>
            </w:r>
          </w:p>
        </w:tc>
        <w:tc>
          <w:tcPr>
            <w:tcW w:w="180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w:t>
            </w:r>
          </w:p>
        </w:tc>
        <w:tc>
          <w:tcPr>
            <w:tcW w:w="180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w:t>
            </w:r>
          </w:p>
        </w:tc>
        <w:tc>
          <w:tcPr>
            <w:tcW w:w="180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w:t>
            </w:r>
          </w:p>
        </w:tc>
        <w:tc>
          <w:tcPr>
            <w:tcW w:w="764"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w:t>
            </w:r>
          </w:p>
        </w:tc>
        <w:tc>
          <w:tcPr>
            <w:tcW w:w="709"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w:t>
            </w:r>
          </w:p>
        </w:tc>
        <w:tc>
          <w:tcPr>
            <w:tcW w:w="1800"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w:t>
            </w:r>
          </w:p>
        </w:tc>
      </w:tr>
      <w:tr>
        <w:tblPrEx>
          <w:tblLayout w:type="fixed"/>
          <w:tblCellMar>
            <w:top w:w="0" w:type="dxa"/>
            <w:left w:w="108" w:type="dxa"/>
            <w:bottom w:w="0" w:type="dxa"/>
            <w:right w:w="108" w:type="dxa"/>
          </w:tblCellMar>
        </w:tblPrEx>
        <w:trPr>
          <w:trHeight w:val="300" w:hRule="atLeast"/>
        </w:trPr>
        <w:tc>
          <w:tcPr>
            <w:tcW w:w="5050" w:type="dxa"/>
            <w:gridSpan w:val="4"/>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合计</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2318.91</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1919.01</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399.9</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204</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2026.19</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1626.29</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399.9</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20404</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检察</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2026.19</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1626.29</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399.9</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2040401</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1615.29</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1615.29</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2040402</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一般行政管理事务</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399.9</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399.9</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2040410</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检察监督</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208</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105.58</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105.58</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20805</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行政事业单位养老支出</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94.28</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94.28</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2080505</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94.28</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94.28</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20899</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其他社会保障和就业支出</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11.3</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11.3</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kern w:val="0"/>
                <w:sz w:val="20"/>
                <w:szCs w:val="20"/>
              </w:rPr>
              <w:t>0.00</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2089901</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其他社会保障和就业支出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11.3</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11.3</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210</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卫生健康支出</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83.7</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83.7</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kern w:val="0"/>
                <w:sz w:val="20"/>
                <w:szCs w:val="20"/>
              </w:rPr>
              <w:t>0.00</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21011</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行政事业单位医疗</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83.7</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83.7</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kern w:val="0"/>
                <w:sz w:val="20"/>
                <w:szCs w:val="20"/>
              </w:rPr>
              <w:t>0.00</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2101101</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行政单位医疗</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49.64</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49.64</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2101103</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34.06</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34.06</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221</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住房保障支出</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kern w:val="0"/>
                <w:sz w:val="20"/>
                <w:szCs w:val="20"/>
              </w:rPr>
              <w:t>0.00</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ascii="宋体" w:hAnsi="宋体" w:cs="Arial"/>
                <w:b/>
                <w:bCs/>
                <w:kern w:val="0"/>
                <w:sz w:val="20"/>
                <w:szCs w:val="20"/>
              </w:rPr>
              <w:t>22102</w:t>
            </w:r>
          </w:p>
        </w:tc>
        <w:tc>
          <w:tcPr>
            <w:tcW w:w="403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住房改革支出</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103.44</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64"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709"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C0C0C0"/>
            <w:vAlign w:val="center"/>
          </w:tcPr>
          <w:p>
            <w:pPr>
              <w:jc w:val="right"/>
              <w:rPr>
                <w:rFonts w:ascii="宋体" w:hAnsi="宋体" w:cs="Arial"/>
                <w:b/>
                <w:bCs/>
                <w:kern w:val="0"/>
                <w:sz w:val="20"/>
                <w:szCs w:val="20"/>
              </w:rPr>
            </w:pPr>
            <w:r>
              <w:rPr>
                <w:rFonts w:ascii="宋体" w:hAnsi="宋体" w:cs="Arial"/>
                <w:b/>
                <w:bCs/>
                <w:kern w:val="0"/>
                <w:sz w:val="20"/>
                <w:szCs w:val="20"/>
              </w:rPr>
              <w:t>0.00</w:t>
            </w:r>
          </w:p>
        </w:tc>
      </w:tr>
      <w:tr>
        <w:tblPrEx>
          <w:tblLayout w:type="fixed"/>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ascii="宋体" w:hAnsi="宋体" w:cs="Arial"/>
                <w:kern w:val="0"/>
                <w:sz w:val="20"/>
                <w:szCs w:val="20"/>
              </w:rPr>
            </w:pPr>
            <w:r>
              <w:rPr>
                <w:rFonts w:ascii="宋体" w:hAnsi="宋体" w:cs="Arial"/>
                <w:kern w:val="0"/>
                <w:sz w:val="20"/>
                <w:szCs w:val="20"/>
              </w:rPr>
              <w:t>2210201</w:t>
            </w:r>
          </w:p>
        </w:tc>
        <w:tc>
          <w:tcPr>
            <w:tcW w:w="4030" w:type="dxa"/>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103.44</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103.44</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6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70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3723" w:type="dxa"/>
            <w:gridSpan w:val="10"/>
            <w:tcBorders>
              <w:top w:val="nil"/>
              <w:left w:val="nil"/>
              <w:bottom w:val="nil"/>
              <w:right w:val="nil"/>
            </w:tcBorders>
            <w:shd w:val="clear" w:color="000000" w:fill="FFFFFF"/>
            <w:vAlign w:val="center"/>
          </w:tcPr>
          <w:p>
            <w:pPr>
              <w:jc w:val="left"/>
              <w:rPr>
                <w:rFonts w:ascii="宋体" w:hAnsi="宋体" w:cs="Arial"/>
                <w:kern w:val="0"/>
                <w:sz w:val="20"/>
                <w:szCs w:val="20"/>
              </w:rPr>
            </w:pPr>
            <w:r>
              <w:rPr>
                <w:rFonts w:hint="eastAsia" w:ascii="宋体" w:hAnsi="宋体" w:cs="Arial"/>
                <w:kern w:val="0"/>
                <w:sz w:val="20"/>
                <w:szCs w:val="20"/>
              </w:rPr>
              <w:t>注：本表反映部门本年度各项支出情况。</w:t>
            </w:r>
          </w:p>
        </w:tc>
      </w:tr>
    </w:tbl>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spacing w:before="0" w:beforeAutospacing="0"/>
        <w:outlineLvl w:val="1"/>
        <w:rPr>
          <w:shd w:val="clear" w:color="auto" w:fill="FFFFFF"/>
        </w:rPr>
        <w:sectPr>
          <w:pgSz w:w="16851" w:h="11915" w:orient="landscape"/>
          <w:pgMar w:top="1800" w:right="1440" w:bottom="1800" w:left="1440" w:header="851" w:footer="992" w:gutter="0"/>
          <w:cols w:space="720" w:num="1"/>
          <w:docGrid w:type="lines" w:linePitch="312" w:charSpace="0"/>
        </w:sectPr>
      </w:pPr>
    </w:p>
    <w:p>
      <w:pPr>
        <w:pStyle w:val="13"/>
        <w:adjustRightInd w:val="0"/>
        <w:snapToGrid w:val="0"/>
        <w:spacing w:before="0" w:beforeAutospacing="0" w:after="0" w:afterAutospacing="0" w:line="400" w:lineRule="exact"/>
        <w:ind w:firstLine="640" w:firstLineChars="200"/>
        <w:outlineLvl w:val="1"/>
        <w:rPr>
          <w:rFonts w:ascii="楷体_GB2312" w:hAnsi="楷体" w:eastAsia="楷体_GB2312" w:cs="楷体"/>
          <w:sz w:val="32"/>
          <w:szCs w:val="32"/>
          <w:shd w:val="clear" w:color="auto" w:fill="FFFFFF"/>
        </w:rPr>
      </w:pPr>
      <w:bookmarkStart w:id="9" w:name="_Toc20129"/>
      <w:r>
        <w:rPr>
          <w:rFonts w:hint="eastAsia" w:ascii="楷体_GB2312" w:hAnsi="楷体" w:eastAsia="楷体_GB2312" w:cs="楷体"/>
          <w:sz w:val="32"/>
          <w:szCs w:val="32"/>
          <w:shd w:val="clear" w:color="auto" w:fill="FFFFFF"/>
        </w:rPr>
        <w:t>四、财政拨款收入支出决算总表</w:t>
      </w:r>
      <w:bookmarkEnd w:id="9"/>
    </w:p>
    <w:tbl>
      <w:tblPr>
        <w:tblStyle w:val="19"/>
        <w:tblW w:w="14648" w:type="dxa"/>
        <w:tblInd w:w="-176" w:type="dxa"/>
        <w:tblLayout w:type="fixed"/>
        <w:tblCellMar>
          <w:top w:w="0" w:type="dxa"/>
          <w:left w:w="108" w:type="dxa"/>
          <w:bottom w:w="0" w:type="dxa"/>
          <w:right w:w="108" w:type="dxa"/>
        </w:tblCellMar>
      </w:tblPr>
      <w:tblGrid>
        <w:gridCol w:w="2977"/>
        <w:gridCol w:w="580"/>
        <w:gridCol w:w="1263"/>
        <w:gridCol w:w="3260"/>
        <w:gridCol w:w="656"/>
        <w:gridCol w:w="1216"/>
        <w:gridCol w:w="1216"/>
        <w:gridCol w:w="1680"/>
        <w:gridCol w:w="1800"/>
      </w:tblGrid>
      <w:tr>
        <w:tblPrEx>
          <w:tblLayout w:type="fixed"/>
          <w:tblCellMar>
            <w:top w:w="0" w:type="dxa"/>
            <w:left w:w="108" w:type="dxa"/>
            <w:bottom w:w="0" w:type="dxa"/>
            <w:right w:w="108" w:type="dxa"/>
          </w:tblCellMar>
        </w:tblPrEx>
        <w:trPr>
          <w:trHeight w:val="92" w:hRule="atLeast"/>
        </w:trPr>
        <w:tc>
          <w:tcPr>
            <w:tcW w:w="2977"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580"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1263"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3260"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656"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1216"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1680" w:type="dxa"/>
            <w:tcBorders>
              <w:top w:val="nil"/>
              <w:left w:val="nil"/>
              <w:bottom w:val="nil"/>
              <w:right w:val="nil"/>
            </w:tcBorders>
            <w:shd w:val="clear" w:color="000000" w:fill="FFFFFF"/>
            <w:vAlign w:val="center"/>
          </w:tcPr>
          <w:p>
            <w:pPr>
              <w:adjustRightInd w:val="0"/>
              <w:snapToGrid w:val="0"/>
              <w:spacing w:line="400" w:lineRule="exact"/>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nil"/>
            </w:tcBorders>
            <w:shd w:val="clear" w:color="000000" w:fill="FFFFFF"/>
            <w:vAlign w:val="center"/>
          </w:tcPr>
          <w:p>
            <w:pPr>
              <w:adjustRightInd w:val="0"/>
              <w:snapToGrid w:val="0"/>
              <w:spacing w:line="400" w:lineRule="exact"/>
              <w:jc w:val="right"/>
              <w:rPr>
                <w:rFonts w:ascii="宋体" w:hAns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04</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409" w:hRule="atLeast"/>
        </w:trPr>
        <w:tc>
          <w:tcPr>
            <w:tcW w:w="2977" w:type="dxa"/>
            <w:tcBorders>
              <w:top w:val="nil"/>
              <w:left w:val="nil"/>
              <w:bottom w:val="single" w:color="808080" w:sz="4" w:space="0"/>
              <w:right w:val="nil"/>
            </w:tcBorders>
            <w:shd w:val="clear" w:color="000000" w:fill="FFFFFF"/>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部门：涟源市人民检察院</w:t>
            </w:r>
          </w:p>
        </w:tc>
        <w:tc>
          <w:tcPr>
            <w:tcW w:w="580"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263"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5132" w:type="dxa"/>
            <w:gridSpan w:val="3"/>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p>
            <w:pPr>
              <w:jc w:val="center"/>
              <w:rPr>
                <w:rFonts w:ascii="宋体" w:hAnsi="宋体" w:cs="Arial"/>
                <w:color w:val="000000"/>
                <w:kern w:val="0"/>
                <w:sz w:val="22"/>
                <w:szCs w:val="22"/>
              </w:rPr>
            </w:pPr>
            <w:r>
              <w:rPr>
                <w:rFonts w:ascii="宋体" w:hAnsi="宋体" w:cs="Arial"/>
                <w:color w:val="000000"/>
                <w:kern w:val="0"/>
                <w:sz w:val="22"/>
                <w:szCs w:val="22"/>
              </w:rPr>
              <w:t>2020</w:t>
            </w:r>
            <w:r>
              <w:rPr>
                <w:rFonts w:hint="eastAsia" w:ascii="宋体" w:hAnsi="宋体" w:cs="Arial"/>
                <w:color w:val="000000"/>
                <w:kern w:val="0"/>
                <w:sz w:val="22"/>
                <w:szCs w:val="22"/>
              </w:rPr>
              <w:t>年度</w:t>
            </w:r>
          </w:p>
          <w:p>
            <w:pPr>
              <w:jc w:val="left"/>
              <w:rPr>
                <w:rFonts w:ascii="宋体" w:hAnsi="宋体" w:cs="Arial"/>
                <w:kern w:val="0"/>
                <w:sz w:val="18"/>
                <w:szCs w:val="18"/>
              </w:rPr>
            </w:pPr>
            <w:r>
              <w:rPr>
                <w:rFonts w:hint="eastAsia" w:ascii="宋体" w:hAnsi="宋体" w:cs="Arial"/>
                <w:kern w:val="0"/>
                <w:sz w:val="18"/>
                <w:szCs w:val="18"/>
              </w:rPr>
              <w:t>　</w:t>
            </w:r>
          </w:p>
        </w:tc>
        <w:tc>
          <w:tcPr>
            <w:tcW w:w="1216"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680"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single" w:color="auto" w:sz="4" w:space="0"/>
            </w:tcBorders>
            <w:shd w:val="clear" w:color="000000" w:fill="FFFFFF"/>
            <w:vAlign w:val="center"/>
          </w:tcPr>
          <w:p>
            <w:pPr>
              <w:jc w:val="right"/>
              <w:rPr>
                <w:rFonts w:ascii="宋体" w:hAnsi="宋体" w:cs="Arial"/>
                <w:color w:val="000000"/>
                <w:kern w:val="0"/>
                <w:sz w:val="22"/>
                <w:szCs w:val="22"/>
              </w:rPr>
            </w:pPr>
            <w:r>
              <w:rPr>
                <w:rFonts w:hint="eastAsia" w:ascii="宋体" w:hAnsi="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300" w:hRule="atLeast"/>
        </w:trPr>
        <w:tc>
          <w:tcPr>
            <w:tcW w:w="4820" w:type="dxa"/>
            <w:gridSpan w:val="3"/>
            <w:tcBorders>
              <w:top w:val="nil"/>
              <w:left w:val="single" w:color="000000" w:sz="4" w:space="0"/>
              <w:bottom w:val="single" w:color="000000"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收</w:t>
            </w:r>
            <w:r>
              <w:rPr>
                <w:rFonts w:ascii="宋体" w:hAnsi="宋体" w:cs="Arial"/>
                <w:kern w:val="0"/>
                <w:sz w:val="20"/>
                <w:szCs w:val="20"/>
              </w:rPr>
              <w:t xml:space="preserve">     </w:t>
            </w:r>
            <w:r>
              <w:rPr>
                <w:rFonts w:hint="eastAsia" w:ascii="宋体" w:hAnsi="宋体" w:cs="Arial"/>
                <w:kern w:val="0"/>
                <w:sz w:val="20"/>
                <w:szCs w:val="20"/>
              </w:rPr>
              <w:t>入</w:t>
            </w:r>
          </w:p>
        </w:tc>
        <w:tc>
          <w:tcPr>
            <w:tcW w:w="9828" w:type="dxa"/>
            <w:gridSpan w:val="6"/>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支</w:t>
            </w:r>
            <w:r>
              <w:rPr>
                <w:rFonts w:ascii="宋体" w:hAnsi="宋体" w:cs="Arial"/>
                <w:kern w:val="0"/>
                <w:sz w:val="20"/>
                <w:szCs w:val="20"/>
              </w:rPr>
              <w:t xml:space="preserve">     </w:t>
            </w:r>
            <w:r>
              <w:rPr>
                <w:rFonts w:hint="eastAsia" w:ascii="宋体" w:hAnsi="宋体" w:cs="Arial"/>
                <w:kern w:val="0"/>
                <w:sz w:val="20"/>
                <w:szCs w:val="20"/>
              </w:rPr>
              <w:t>出</w:t>
            </w:r>
          </w:p>
        </w:tc>
      </w:tr>
      <w:tr>
        <w:tblPrEx>
          <w:tblLayout w:type="fixed"/>
          <w:tblCellMar>
            <w:top w:w="0" w:type="dxa"/>
            <w:left w:w="108" w:type="dxa"/>
            <w:bottom w:w="0" w:type="dxa"/>
            <w:right w:w="108" w:type="dxa"/>
          </w:tblCellMar>
        </w:tblPrEx>
        <w:trPr>
          <w:trHeight w:val="285" w:hRule="atLeast"/>
        </w:trPr>
        <w:tc>
          <w:tcPr>
            <w:tcW w:w="2977" w:type="dxa"/>
            <w:vMerge w:val="restart"/>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项目</w:t>
            </w:r>
          </w:p>
        </w:tc>
        <w:tc>
          <w:tcPr>
            <w:tcW w:w="58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行次</w:t>
            </w:r>
          </w:p>
        </w:tc>
        <w:tc>
          <w:tcPr>
            <w:tcW w:w="1263"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金额</w:t>
            </w:r>
          </w:p>
        </w:tc>
        <w:tc>
          <w:tcPr>
            <w:tcW w:w="3260" w:type="dxa"/>
            <w:vMerge w:val="restart"/>
            <w:tcBorders>
              <w:top w:val="nil"/>
              <w:left w:val="nil"/>
              <w:bottom w:val="single" w:color="000000" w:sz="4" w:space="0"/>
              <w:right w:val="single" w:color="000000" w:sz="4" w:space="0"/>
            </w:tcBorders>
            <w:shd w:val="clear" w:color="000000" w:fill="C0C0C0"/>
            <w:vAlign w:val="bottom"/>
          </w:tcPr>
          <w:p>
            <w:pPr>
              <w:jc w:val="left"/>
              <w:rPr>
                <w:rFonts w:ascii="宋体" w:hAnsi="宋体" w:cs="Arial"/>
                <w:kern w:val="0"/>
                <w:sz w:val="20"/>
                <w:szCs w:val="20"/>
              </w:rPr>
            </w:pPr>
            <w:r>
              <w:rPr>
                <w:rFonts w:hint="eastAsia" w:ascii="宋体" w:hAnsi="宋体" w:cs="Arial"/>
                <w:kern w:val="0"/>
                <w:sz w:val="20"/>
                <w:szCs w:val="20"/>
              </w:rPr>
              <w:t>项目</w:t>
            </w:r>
          </w:p>
        </w:tc>
        <w:tc>
          <w:tcPr>
            <w:tcW w:w="656"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行次</w:t>
            </w:r>
          </w:p>
        </w:tc>
        <w:tc>
          <w:tcPr>
            <w:tcW w:w="1216"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合计</w:t>
            </w:r>
          </w:p>
        </w:tc>
        <w:tc>
          <w:tcPr>
            <w:tcW w:w="1216"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一般公共预算财政拨款</w:t>
            </w:r>
          </w:p>
        </w:tc>
        <w:tc>
          <w:tcPr>
            <w:tcW w:w="168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180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国有资本经营预算财政拨款</w:t>
            </w:r>
          </w:p>
        </w:tc>
      </w:tr>
      <w:tr>
        <w:tblPrEx>
          <w:tblLayout w:type="fixed"/>
          <w:tblCellMar>
            <w:top w:w="0" w:type="dxa"/>
            <w:left w:w="108" w:type="dxa"/>
            <w:bottom w:w="0" w:type="dxa"/>
            <w:right w:w="108" w:type="dxa"/>
          </w:tblCellMar>
        </w:tblPrEx>
        <w:trPr>
          <w:trHeight w:val="600" w:hRule="atLeast"/>
        </w:trPr>
        <w:tc>
          <w:tcPr>
            <w:tcW w:w="2977"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58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263"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326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656"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216"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216"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　</w:t>
            </w:r>
          </w:p>
        </w:tc>
        <w:tc>
          <w:tcPr>
            <w:tcW w:w="1263"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w:t>
            </w:r>
          </w:p>
        </w:tc>
        <w:tc>
          <w:tcPr>
            <w:tcW w:w="3260" w:type="dxa"/>
            <w:tcBorders>
              <w:top w:val="nil"/>
              <w:left w:val="nil"/>
              <w:bottom w:val="single" w:color="000000" w:sz="4" w:space="0"/>
              <w:right w:val="single" w:color="000000" w:sz="4" w:space="0"/>
            </w:tcBorders>
            <w:shd w:val="clear" w:color="000000" w:fill="C0C0C0"/>
            <w:vAlign w:val="bottom"/>
          </w:tcPr>
          <w:p>
            <w:pPr>
              <w:jc w:val="left"/>
              <w:rPr>
                <w:rFonts w:ascii="宋体" w:hAnsi="宋体" w:cs="Arial"/>
                <w:kern w:val="0"/>
                <w:sz w:val="20"/>
                <w:szCs w:val="20"/>
              </w:rPr>
            </w:pPr>
            <w:r>
              <w:rPr>
                <w:rFonts w:hint="eastAsia" w:ascii="宋体" w:hAnsi="宋体" w:cs="Arial"/>
                <w:kern w:val="0"/>
                <w:sz w:val="20"/>
                <w:szCs w:val="20"/>
              </w:rPr>
              <w:t>栏次</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w:t>
            </w:r>
          </w:p>
        </w:tc>
        <w:tc>
          <w:tcPr>
            <w:tcW w:w="12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w:t>
            </w:r>
          </w:p>
        </w:tc>
        <w:tc>
          <w:tcPr>
            <w:tcW w:w="16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w:t>
            </w:r>
          </w:p>
        </w:tc>
        <w:tc>
          <w:tcPr>
            <w:tcW w:w="180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一、一般公共预算财政拨款</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1981.86</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一、一般公共服务支出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33</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二、外交支出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34</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三、国有资本经营财政拨款</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三、国防支出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35</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四、公共安全支出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36</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1756.31</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1756.31</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五、教育支出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37</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六、科学技术支出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38</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7</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39</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8</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八、社会保障和就业支出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95.58</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95.58</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9</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九、卫生健康支出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41</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73.7</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73.7</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10</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十、节能环保支出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42</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11</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十一、城乡社区支出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43</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12</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十二、农林水支出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44</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13</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十三、交通运输支出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45</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14</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46</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15</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十五、商业服务业等支出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47</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16</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十六、金融支出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48</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17</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十七、援助其他地区支出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49</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18</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19</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十九、住房保障支出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51</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103.44</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103.44</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20</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二十、粮油物资储备支出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52</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21</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53</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22</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54</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23</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二十三、其他支出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55</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b/>
                <w:bCs/>
                <w:kern w:val="0"/>
                <w:sz w:val="20"/>
                <w:szCs w:val="20"/>
              </w:rPr>
            </w:pPr>
            <w:r>
              <w:rPr>
                <w:rFonts w:hint="eastAsia" w:ascii="宋体" w:hAnsi="宋体" w:cs="Arial"/>
                <w:b/>
                <w:bCs/>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24</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二十四、债务还本支出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56</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25</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二十五、债务付息支出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57</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26</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58</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27</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1981.86</w:t>
            </w:r>
          </w:p>
        </w:tc>
        <w:tc>
          <w:tcPr>
            <w:tcW w:w="326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59</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2029.03</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2029.03</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年初财政拨款结转和结余</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28</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71.35</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年末财政拨款结转和结余</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60</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24.18</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24.18</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一般公共预算财政拨款</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29</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71.35</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61</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政府性基金预算财政拨款</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30</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62</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国有资本经营预算财政拨款</w:t>
            </w:r>
          </w:p>
        </w:tc>
        <w:tc>
          <w:tcPr>
            <w:tcW w:w="58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31</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63</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977"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总计</w:t>
            </w:r>
          </w:p>
        </w:tc>
        <w:tc>
          <w:tcPr>
            <w:tcW w:w="580" w:type="dxa"/>
            <w:tcBorders>
              <w:top w:val="nil"/>
              <w:left w:val="nil"/>
              <w:bottom w:val="single" w:color="000000" w:sz="12"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32</w:t>
            </w:r>
          </w:p>
        </w:tc>
        <w:tc>
          <w:tcPr>
            <w:tcW w:w="1263"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2053.21</w:t>
            </w:r>
          </w:p>
        </w:tc>
        <w:tc>
          <w:tcPr>
            <w:tcW w:w="3260"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b/>
                <w:bCs/>
                <w:kern w:val="0"/>
                <w:sz w:val="20"/>
                <w:szCs w:val="20"/>
              </w:rPr>
            </w:pPr>
            <w:r>
              <w:rPr>
                <w:rFonts w:hint="eastAsia" w:ascii="宋体" w:hAnsi="宋体" w:cs="Arial"/>
                <w:b/>
                <w:bCs/>
                <w:kern w:val="0"/>
                <w:sz w:val="20"/>
                <w:szCs w:val="20"/>
              </w:rPr>
              <w:t>总计</w:t>
            </w:r>
          </w:p>
        </w:tc>
        <w:tc>
          <w:tcPr>
            <w:tcW w:w="65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64</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2053.21</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2053.21</w:t>
            </w:r>
          </w:p>
        </w:tc>
        <w:tc>
          <w:tcPr>
            <w:tcW w:w="168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trHeight w:val="300" w:hRule="atLeast"/>
        </w:trPr>
        <w:tc>
          <w:tcPr>
            <w:tcW w:w="12848" w:type="dxa"/>
            <w:gridSpan w:val="8"/>
            <w:tcBorders>
              <w:top w:val="nil"/>
              <w:left w:val="nil"/>
              <w:bottom w:val="nil"/>
              <w:right w:val="nil"/>
            </w:tcBorders>
            <w:shd w:val="clear" w:color="000000" w:fill="FFFFFF"/>
            <w:vAlign w:val="center"/>
          </w:tcPr>
          <w:p>
            <w:pPr>
              <w:jc w:val="left"/>
              <w:rPr>
                <w:rFonts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c>
          <w:tcPr>
            <w:tcW w:w="1800" w:type="dxa"/>
            <w:tcBorders>
              <w:top w:val="nil"/>
              <w:left w:val="nil"/>
              <w:bottom w:val="nil"/>
              <w:right w:val="nil"/>
            </w:tcBorders>
            <w:shd w:val="clear" w:color="000000" w:fill="FFFFFF"/>
            <w:vAlign w:val="center"/>
          </w:tcPr>
          <w:p>
            <w:pPr>
              <w:jc w:val="left"/>
              <w:rPr>
                <w:rFonts w:ascii="宋体" w:hAnsi="宋体" w:cs="Arial"/>
                <w:kern w:val="0"/>
                <w:sz w:val="20"/>
                <w:szCs w:val="20"/>
              </w:rPr>
            </w:pPr>
            <w:r>
              <w:rPr>
                <w:rFonts w:hint="eastAsia" w:ascii="宋体" w:hAnsi="宋体" w:cs="Arial"/>
                <w:kern w:val="0"/>
                <w:sz w:val="20"/>
                <w:szCs w:val="20"/>
              </w:rPr>
              <w:t>　</w:t>
            </w:r>
          </w:p>
        </w:tc>
      </w:tr>
    </w:tbl>
    <w:p>
      <w:pPr>
        <w:pStyle w:val="13"/>
        <w:spacing w:before="0" w:beforeAutospacing="0"/>
        <w:ind w:firstLine="640" w:firstLineChars="200"/>
        <w:outlineLvl w:val="1"/>
        <w:rPr>
          <w:rFonts w:ascii="楷体_GB2312" w:hAnsi="楷体" w:eastAsia="楷体_GB2312" w:cs="楷体"/>
          <w:sz w:val="32"/>
          <w:szCs w:val="32"/>
          <w:shd w:val="clear" w:color="auto" w:fill="FFFFFF"/>
        </w:rPr>
      </w:pPr>
    </w:p>
    <w:p>
      <w:pPr>
        <w:pStyle w:val="13"/>
        <w:spacing w:before="0" w:beforeAutospacing="0"/>
        <w:ind w:firstLine="640" w:firstLineChars="200"/>
        <w:outlineLvl w:val="1"/>
        <w:rPr>
          <w:rFonts w:ascii="楷体_GB2312" w:hAnsi="黑体" w:eastAsia="楷体_GB2312" w:cs="黑体"/>
          <w:sz w:val="32"/>
          <w:szCs w:val="32"/>
          <w:shd w:val="clear" w:color="auto" w:fill="FFFFFF"/>
        </w:rPr>
      </w:pPr>
    </w:p>
    <w:p>
      <w:pPr>
        <w:pStyle w:val="13"/>
        <w:spacing w:before="0" w:beforeAutospacing="0"/>
        <w:outlineLvl w:val="1"/>
        <w:rPr>
          <w:shd w:val="clear" w:color="auto" w:fill="FFFFFF"/>
        </w:rPr>
        <w:sectPr>
          <w:pgSz w:w="16851" w:h="11915" w:orient="landscape"/>
          <w:pgMar w:top="1800" w:right="1440" w:bottom="1800" w:left="1440" w:header="851" w:footer="992" w:gutter="0"/>
          <w:cols w:space="720" w:num="1"/>
          <w:docGrid w:type="lines" w:linePitch="326" w:charSpace="0"/>
        </w:sectPr>
      </w:pPr>
    </w:p>
    <w:p>
      <w:pPr>
        <w:pStyle w:val="13"/>
        <w:adjustRightInd w:val="0"/>
        <w:snapToGrid w:val="0"/>
        <w:spacing w:before="0" w:beforeAutospacing="0" w:after="0" w:afterAutospacing="0"/>
        <w:ind w:firstLine="480" w:firstLineChars="150"/>
        <w:outlineLvl w:val="1"/>
        <w:rPr>
          <w:rFonts w:ascii="楷体_GB2312" w:hAnsi="楷体" w:eastAsia="楷体_GB2312" w:cs="楷体"/>
          <w:sz w:val="32"/>
          <w:szCs w:val="32"/>
          <w:shd w:val="clear" w:color="auto" w:fill="FFFFFF"/>
        </w:rPr>
      </w:pPr>
      <w:bookmarkStart w:id="10" w:name="_Toc32082"/>
      <w:r>
        <w:rPr>
          <w:rFonts w:hint="eastAsia" w:ascii="楷体_GB2312" w:hAnsi="楷体" w:eastAsia="楷体_GB2312" w:cs="楷体"/>
          <w:sz w:val="32"/>
          <w:szCs w:val="32"/>
          <w:shd w:val="clear" w:color="auto" w:fill="FFFFFF"/>
        </w:rPr>
        <w:t>五、一般公共预算财政拨款支出决算表</w:t>
      </w:r>
      <w:bookmarkEnd w:id="10"/>
    </w:p>
    <w:tbl>
      <w:tblPr>
        <w:tblStyle w:val="19"/>
        <w:tblW w:w="16588" w:type="dxa"/>
        <w:tblInd w:w="-459" w:type="dxa"/>
        <w:tblLayout w:type="fixed"/>
        <w:tblCellMar>
          <w:top w:w="0" w:type="dxa"/>
          <w:left w:w="108" w:type="dxa"/>
          <w:bottom w:w="0" w:type="dxa"/>
          <w:right w:w="108" w:type="dxa"/>
        </w:tblCellMar>
      </w:tblPr>
      <w:tblGrid>
        <w:gridCol w:w="817"/>
        <w:gridCol w:w="817"/>
        <w:gridCol w:w="817"/>
        <w:gridCol w:w="3786"/>
        <w:gridCol w:w="1560"/>
        <w:gridCol w:w="1417"/>
        <w:gridCol w:w="1134"/>
        <w:gridCol w:w="1560"/>
        <w:gridCol w:w="1560"/>
        <w:gridCol w:w="1560"/>
        <w:gridCol w:w="1560"/>
      </w:tblGrid>
      <w:tr>
        <w:tblPrEx>
          <w:tblLayout w:type="fixed"/>
          <w:tblCellMar>
            <w:top w:w="0" w:type="dxa"/>
            <w:left w:w="108" w:type="dxa"/>
            <w:bottom w:w="0" w:type="dxa"/>
            <w:right w:w="108" w:type="dxa"/>
          </w:tblCellMar>
        </w:tblPrEx>
        <w:trPr>
          <w:gridAfter w:val="4"/>
          <w:wAfter w:w="6240" w:type="dxa"/>
          <w:trHeight w:val="300" w:hRule="atLeast"/>
        </w:trPr>
        <w:tc>
          <w:tcPr>
            <w:tcW w:w="817" w:type="dxa"/>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817" w:type="dxa"/>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817" w:type="dxa"/>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3786" w:type="dxa"/>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1560" w:type="dxa"/>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1417" w:type="dxa"/>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18"/>
                <w:szCs w:val="18"/>
              </w:rPr>
            </w:pPr>
            <w:r>
              <w:rPr>
                <w:rFonts w:hint="eastAsia" w:ascii="宋体" w:hAnsi="宋体" w:cs="Arial"/>
                <w:kern w:val="0"/>
                <w:sz w:val="18"/>
                <w:szCs w:val="18"/>
              </w:rPr>
              <w:t>　</w:t>
            </w:r>
          </w:p>
        </w:tc>
        <w:tc>
          <w:tcPr>
            <w:tcW w:w="1134" w:type="dxa"/>
            <w:tcBorders>
              <w:top w:val="nil"/>
              <w:left w:val="nil"/>
              <w:bottom w:val="nil"/>
            </w:tcBorders>
            <w:shd w:val="clear" w:color="000000" w:fill="FFFFFF"/>
            <w:vAlign w:val="center"/>
          </w:tcPr>
          <w:p>
            <w:pPr>
              <w:adjustRightInd w:val="0"/>
              <w:snapToGrid w:val="0"/>
              <w:spacing w:line="240" w:lineRule="exact"/>
              <w:jc w:val="right"/>
              <w:rPr>
                <w:rFonts w:ascii="宋体" w:hAns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05</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gridAfter w:val="4"/>
          <w:wAfter w:w="6240" w:type="dxa"/>
          <w:trHeight w:val="145" w:hRule="atLeast"/>
        </w:trPr>
        <w:tc>
          <w:tcPr>
            <w:tcW w:w="2451" w:type="dxa"/>
            <w:gridSpan w:val="3"/>
            <w:tcBorders>
              <w:top w:val="nil"/>
              <w:left w:val="nil"/>
              <w:bottom w:val="single" w:color="808080" w:sz="4" w:space="0"/>
              <w:right w:val="nil"/>
            </w:tcBorders>
            <w:shd w:val="clear" w:color="000000" w:fill="FFFFFF"/>
            <w:vAlign w:val="center"/>
          </w:tcPr>
          <w:p>
            <w:pPr>
              <w:adjustRightInd w:val="0"/>
              <w:snapToGrid w:val="0"/>
              <w:spacing w:line="240" w:lineRule="exact"/>
              <w:jc w:val="left"/>
              <w:rPr>
                <w:rFonts w:ascii="宋体" w:hAnsi="宋体" w:cs="Arial"/>
                <w:color w:val="000000"/>
                <w:kern w:val="0"/>
                <w:sz w:val="20"/>
                <w:szCs w:val="20"/>
              </w:rPr>
            </w:pPr>
            <w:r>
              <w:rPr>
                <w:rFonts w:hint="eastAsia" w:ascii="宋体" w:hAnsi="宋体" w:cs="Arial"/>
                <w:color w:val="000000"/>
                <w:kern w:val="0"/>
                <w:sz w:val="20"/>
                <w:szCs w:val="20"/>
              </w:rPr>
              <w:t>部门：涟源市人民检察院</w:t>
            </w:r>
          </w:p>
        </w:tc>
        <w:tc>
          <w:tcPr>
            <w:tcW w:w="3786" w:type="dxa"/>
            <w:tcBorders>
              <w:top w:val="nil"/>
              <w:left w:val="nil"/>
              <w:bottom w:val="nil"/>
              <w:right w:val="nil"/>
            </w:tcBorders>
            <w:vAlign w:val="bottom"/>
          </w:tcPr>
          <w:p>
            <w:pPr>
              <w:adjustRightInd w:val="0"/>
              <w:snapToGrid w:val="0"/>
              <w:spacing w:line="240" w:lineRule="exact"/>
              <w:jc w:val="left"/>
              <w:rPr>
                <w:rFonts w:ascii="Arial" w:hAnsi="Arial" w:cs="Arial"/>
                <w:kern w:val="0"/>
                <w:sz w:val="20"/>
                <w:szCs w:val="20"/>
              </w:rPr>
            </w:pPr>
          </w:p>
        </w:tc>
        <w:tc>
          <w:tcPr>
            <w:tcW w:w="1560" w:type="dxa"/>
            <w:tcBorders>
              <w:top w:val="nil"/>
              <w:left w:val="nil"/>
              <w:bottom w:val="single" w:color="auto" w:sz="4" w:space="0"/>
              <w:right w:val="nil"/>
            </w:tcBorders>
            <w:shd w:val="clear" w:color="000000" w:fill="FFFFFF"/>
            <w:vAlign w:val="center"/>
          </w:tcPr>
          <w:p>
            <w:pPr>
              <w:adjustRightInd w:val="0"/>
              <w:snapToGrid w:val="0"/>
              <w:spacing w:line="240" w:lineRule="exact"/>
              <w:jc w:val="center"/>
              <w:rPr>
                <w:rFonts w:ascii="宋体" w:hAnsi="宋体" w:cs="Arial"/>
                <w:color w:val="000000"/>
                <w:kern w:val="0"/>
                <w:sz w:val="20"/>
                <w:szCs w:val="20"/>
              </w:rPr>
            </w:pPr>
            <w:r>
              <w:rPr>
                <w:rFonts w:ascii="宋体" w:hAnsi="宋体" w:cs="Arial"/>
                <w:color w:val="000000"/>
                <w:kern w:val="0"/>
                <w:sz w:val="20"/>
                <w:szCs w:val="20"/>
              </w:rPr>
              <w:t>2020</w:t>
            </w:r>
            <w:r>
              <w:rPr>
                <w:rFonts w:hint="eastAsia" w:ascii="宋体" w:hAnsi="宋体" w:cs="Arial"/>
                <w:color w:val="000000"/>
                <w:kern w:val="0"/>
                <w:sz w:val="20"/>
                <w:szCs w:val="20"/>
              </w:rPr>
              <w:t>年度</w:t>
            </w:r>
          </w:p>
        </w:tc>
        <w:tc>
          <w:tcPr>
            <w:tcW w:w="2551" w:type="dxa"/>
            <w:gridSpan w:val="2"/>
            <w:tcBorders>
              <w:top w:val="nil"/>
              <w:left w:val="nil"/>
              <w:bottom w:val="single" w:color="auto" w:sz="4" w:space="0"/>
            </w:tcBorders>
            <w:shd w:val="clear" w:color="000000" w:fill="FFFFFF"/>
          </w:tcPr>
          <w:p>
            <w:pPr>
              <w:adjustRightInd w:val="0"/>
              <w:snapToGrid w:val="0"/>
              <w:spacing w:line="240" w:lineRule="exact"/>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4"/>
          <w:wAfter w:w="6240" w:type="dxa"/>
          <w:trHeight w:val="300" w:hRule="atLeast"/>
        </w:trPr>
        <w:tc>
          <w:tcPr>
            <w:tcW w:w="6237" w:type="dxa"/>
            <w:gridSpan w:val="4"/>
            <w:tcBorders>
              <w:top w:val="nil"/>
              <w:left w:val="single" w:color="000000" w:sz="4" w:space="0"/>
              <w:bottom w:val="single" w:color="000000" w:sz="4" w:space="0"/>
              <w:right w:val="single" w:color="auto" w:sz="4" w:space="0"/>
            </w:tcBorders>
            <w:shd w:val="clear" w:color="000000" w:fill="C0C0C0"/>
            <w:vAlign w:val="center"/>
          </w:tcPr>
          <w:p>
            <w:pPr>
              <w:adjustRightInd w:val="0"/>
              <w:snapToGrid w:val="0"/>
              <w:spacing w:line="240" w:lineRule="exact"/>
              <w:jc w:val="left"/>
              <w:rPr>
                <w:rFonts w:ascii="宋体" w:hAnsi="宋体" w:cs="Arial"/>
                <w:kern w:val="0"/>
                <w:sz w:val="20"/>
                <w:szCs w:val="20"/>
              </w:rPr>
            </w:pPr>
            <w:r>
              <w:rPr>
                <w:rFonts w:hint="eastAsia" w:ascii="宋体" w:hAnsi="宋体" w:cs="Arial"/>
                <w:kern w:val="0"/>
                <w:sz w:val="20"/>
                <w:szCs w:val="20"/>
              </w:rPr>
              <w:t>项目</w:t>
            </w:r>
          </w:p>
        </w:tc>
        <w:tc>
          <w:tcPr>
            <w:tcW w:w="4111" w:type="dxa"/>
            <w:gridSpan w:val="3"/>
            <w:tcBorders>
              <w:top w:val="single" w:color="auto" w:sz="4" w:space="0"/>
              <w:left w:val="single" w:color="auto" w:sz="4" w:space="0"/>
              <w:bottom w:val="single" w:color="auto" w:sz="4" w:space="0"/>
              <w:right w:val="single" w:color="auto"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hint="eastAsia" w:ascii="宋体" w:hAnsi="宋体" w:cs="Arial"/>
                <w:kern w:val="0"/>
                <w:sz w:val="20"/>
                <w:szCs w:val="20"/>
              </w:rPr>
              <w:t>本年支出</w:t>
            </w:r>
          </w:p>
        </w:tc>
      </w:tr>
      <w:tr>
        <w:tblPrEx>
          <w:tblLayout w:type="fixed"/>
          <w:tblCellMar>
            <w:top w:w="0" w:type="dxa"/>
            <w:left w:w="108" w:type="dxa"/>
            <w:bottom w:w="0" w:type="dxa"/>
            <w:right w:w="108" w:type="dxa"/>
          </w:tblCellMar>
        </w:tblPrEx>
        <w:trPr>
          <w:gridAfter w:val="4"/>
          <w:wAfter w:w="6240" w:type="dxa"/>
          <w:trHeight w:val="33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hint="eastAsia" w:ascii="宋体" w:hAnsi="宋体" w:cs="Arial"/>
                <w:kern w:val="0"/>
                <w:sz w:val="20"/>
                <w:szCs w:val="20"/>
              </w:rPr>
              <w:t>功能分类科目编码</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hint="eastAsia" w:ascii="宋体" w:hAnsi="宋体" w:cs="Arial"/>
                <w:kern w:val="0"/>
                <w:sz w:val="20"/>
                <w:szCs w:val="20"/>
              </w:rPr>
              <w:t>科目名称</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hint="eastAsia" w:ascii="宋体" w:hAnsi="宋体" w:cs="Arial"/>
                <w:kern w:val="0"/>
                <w:sz w:val="20"/>
                <w:szCs w:val="20"/>
              </w:rPr>
              <w:t>小计</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hint="eastAsia" w:ascii="宋体" w:hAnsi="宋体" w:cs="Arial"/>
                <w:kern w:val="0"/>
                <w:sz w:val="20"/>
                <w:szCs w:val="20"/>
              </w:rPr>
              <w:t>基本支出</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hint="eastAsia" w:ascii="宋体" w:hAnsi="宋体" w:cs="Arial"/>
                <w:kern w:val="0"/>
                <w:sz w:val="20"/>
                <w:szCs w:val="20"/>
              </w:rPr>
              <w:t>项目支出</w:t>
            </w:r>
          </w:p>
        </w:tc>
      </w:tr>
      <w:tr>
        <w:tblPrEx>
          <w:tblLayout w:type="fixed"/>
          <w:tblCellMar>
            <w:top w:w="0" w:type="dxa"/>
            <w:left w:w="108" w:type="dxa"/>
            <w:bottom w:w="0" w:type="dxa"/>
            <w:right w:w="108" w:type="dxa"/>
          </w:tblCellMar>
        </w:tblPrEx>
        <w:trPr>
          <w:gridAfter w:val="4"/>
          <w:wAfter w:w="6240" w:type="dxa"/>
          <w:trHeight w:val="300" w:hRule="atLeast"/>
        </w:trPr>
        <w:tc>
          <w:tcPr>
            <w:tcW w:w="6237" w:type="dxa"/>
            <w:gridSpan w:val="4"/>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hint="eastAsia" w:ascii="宋体" w:hAnsi="宋体" w:cs="Arial"/>
                <w:kern w:val="0"/>
                <w:sz w:val="20"/>
                <w:szCs w:val="20"/>
              </w:rPr>
              <w:t>栏次</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ascii="宋体" w:hAnsi="宋体" w:cs="Arial"/>
                <w:kern w:val="0"/>
                <w:sz w:val="20"/>
                <w:szCs w:val="20"/>
              </w:rPr>
              <w:t>1</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ascii="宋体" w:hAnsi="宋体" w:cs="Arial"/>
                <w:kern w:val="0"/>
                <w:sz w:val="20"/>
                <w:szCs w:val="20"/>
              </w:rPr>
              <w:t>2</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center"/>
              <w:rPr>
                <w:rFonts w:ascii="宋体" w:hAnsi="宋体" w:cs="Arial"/>
                <w:kern w:val="0"/>
                <w:sz w:val="20"/>
                <w:szCs w:val="20"/>
              </w:rPr>
            </w:pPr>
            <w:r>
              <w:rPr>
                <w:rFonts w:ascii="宋体" w:hAnsi="宋体" w:cs="Arial"/>
                <w:kern w:val="0"/>
                <w:sz w:val="20"/>
                <w:szCs w:val="20"/>
              </w:rPr>
              <w:t>3</w:t>
            </w:r>
          </w:p>
        </w:tc>
      </w:tr>
      <w:tr>
        <w:tblPrEx>
          <w:tblLayout w:type="fixed"/>
          <w:tblCellMar>
            <w:top w:w="0" w:type="dxa"/>
            <w:left w:w="108" w:type="dxa"/>
            <w:bottom w:w="0" w:type="dxa"/>
            <w:right w:w="108" w:type="dxa"/>
          </w:tblCellMar>
        </w:tblPrEx>
        <w:trPr>
          <w:gridAfter w:val="4"/>
          <w:wAfter w:w="6240" w:type="dxa"/>
          <w:trHeight w:val="300" w:hRule="atLeast"/>
        </w:trPr>
        <w:tc>
          <w:tcPr>
            <w:tcW w:w="6237" w:type="dxa"/>
            <w:gridSpan w:val="4"/>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kern w:val="0"/>
                <w:sz w:val="20"/>
                <w:szCs w:val="20"/>
              </w:rPr>
            </w:pPr>
            <w:r>
              <w:rPr>
                <w:rFonts w:hint="eastAsia" w:ascii="宋体" w:hAnsi="宋体" w:cs="Arial"/>
                <w:kern w:val="0"/>
                <w:sz w:val="20"/>
                <w:szCs w:val="20"/>
              </w:rPr>
              <w:t>合计</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2029.03</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1647.62</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r>
              <w:rPr>
                <w:rFonts w:ascii="宋体" w:hAnsi="宋体" w:cs="Arial"/>
                <w:b/>
                <w:kern w:val="0"/>
                <w:sz w:val="20"/>
                <w:szCs w:val="20"/>
              </w:rPr>
              <w:t>381.4</w:t>
            </w: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204</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公共安全支出</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1756.31</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1374.9</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kern w:val="0"/>
                <w:sz w:val="20"/>
                <w:szCs w:val="20"/>
              </w:rPr>
              <w:t>381.4</w:t>
            </w: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20404</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检察</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1756.31</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1374.9</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kern w:val="0"/>
                <w:sz w:val="20"/>
                <w:szCs w:val="20"/>
              </w:rPr>
              <w:t>381.4</w:t>
            </w: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2040401</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行政运行</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1363.9</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r>
              <w:rPr>
                <w:rFonts w:ascii="宋体" w:hAnsi="宋体" w:cs="Arial"/>
                <w:kern w:val="0"/>
                <w:sz w:val="20"/>
                <w:szCs w:val="20"/>
              </w:rPr>
              <w:t>1363.9</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2040402</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一般行政管理事务</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381.4</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r>
              <w:rPr>
                <w:rFonts w:ascii="宋体" w:hAnsi="宋体" w:cs="Arial"/>
                <w:kern w:val="0"/>
                <w:sz w:val="20"/>
                <w:szCs w:val="20"/>
              </w:rPr>
              <w:t>381.4</w:t>
            </w: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2040410</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检察监督</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11</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11</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208</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社会保障和就业支出</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95.58</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95.58</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20805</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行政事业单位养老支出</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89.28</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89.28</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2080505</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机关事业单位基本养老保险缴费支出</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89.28</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89.28</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20899</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其他社会保障和就业支出</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6.3</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6.3</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2089901</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其他社会保障和就业支出</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6.3</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6.3</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210</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卫生健康支出</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73.7</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73.7</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21011</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行政事业单位医疗</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73.7</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73.7</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2101101</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行政单位医疗</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44.64</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44.64</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2101103</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29.06</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29.06</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221</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住房保障支出</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103.44</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103.44</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ascii="宋体" w:hAnsi="宋体" w:cs="Arial"/>
                <w:b/>
                <w:bCs/>
                <w:kern w:val="0"/>
                <w:sz w:val="20"/>
                <w:szCs w:val="20"/>
              </w:rPr>
              <w:t>22102</w:t>
            </w:r>
          </w:p>
        </w:tc>
        <w:tc>
          <w:tcPr>
            <w:tcW w:w="3786"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left"/>
              <w:rPr>
                <w:rFonts w:ascii="宋体" w:hAnsi="宋体" w:cs="Arial"/>
                <w:b/>
                <w:bCs/>
                <w:kern w:val="0"/>
                <w:sz w:val="20"/>
                <w:szCs w:val="20"/>
              </w:rPr>
            </w:pPr>
            <w:r>
              <w:rPr>
                <w:rFonts w:hint="eastAsia" w:ascii="宋体" w:hAnsi="宋体" w:cs="Arial"/>
                <w:b/>
                <w:bCs/>
                <w:kern w:val="0"/>
                <w:sz w:val="20"/>
                <w:szCs w:val="20"/>
              </w:rPr>
              <w:t>住房改革支出</w:t>
            </w:r>
          </w:p>
        </w:tc>
        <w:tc>
          <w:tcPr>
            <w:tcW w:w="1560"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103.44</w:t>
            </w:r>
          </w:p>
        </w:tc>
        <w:tc>
          <w:tcPr>
            <w:tcW w:w="1417"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r>
              <w:rPr>
                <w:rFonts w:ascii="宋体" w:hAnsi="宋体" w:cs="Arial"/>
                <w:b/>
                <w:bCs/>
                <w:kern w:val="0"/>
                <w:sz w:val="20"/>
                <w:szCs w:val="20"/>
              </w:rPr>
              <w:t>103.44</w:t>
            </w:r>
          </w:p>
        </w:tc>
        <w:tc>
          <w:tcPr>
            <w:tcW w:w="1134" w:type="dxa"/>
            <w:tcBorders>
              <w:top w:val="nil"/>
              <w:left w:val="nil"/>
              <w:bottom w:val="single" w:color="000000" w:sz="4" w:space="0"/>
              <w:right w:val="single" w:color="000000" w:sz="4" w:space="0"/>
            </w:tcBorders>
            <w:shd w:val="clear" w:color="000000" w:fill="C0C0C0"/>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gridAfter w:val="4"/>
          <w:wAfter w:w="6240" w:type="dxa"/>
          <w:trHeight w:val="300" w:hRule="atLeast"/>
        </w:trPr>
        <w:tc>
          <w:tcPr>
            <w:tcW w:w="2451" w:type="dxa"/>
            <w:gridSpan w:val="3"/>
            <w:tcBorders>
              <w:top w:val="nil"/>
              <w:left w:val="single" w:color="000000" w:sz="4" w:space="0"/>
              <w:bottom w:val="single" w:color="000000" w:sz="4" w:space="0"/>
              <w:right w:val="single" w:color="000000" w:sz="4" w:space="0"/>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2210201</w:t>
            </w:r>
          </w:p>
        </w:tc>
        <w:tc>
          <w:tcPr>
            <w:tcW w:w="3786" w:type="dxa"/>
            <w:tcBorders>
              <w:top w:val="nil"/>
              <w:left w:val="nil"/>
              <w:bottom w:val="single" w:color="000000" w:sz="4" w:space="0"/>
              <w:right w:val="single" w:color="000000" w:sz="4" w:space="0"/>
            </w:tcBorders>
            <w:shd w:val="clear" w:color="000000" w:fill="CCFFFF"/>
            <w:vAlign w:val="center"/>
          </w:tcPr>
          <w:p>
            <w:pPr>
              <w:adjustRightInd w:val="0"/>
              <w:snapToGrid w:val="0"/>
              <w:spacing w:line="240" w:lineRule="exact"/>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560"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103.44</w:t>
            </w:r>
          </w:p>
        </w:tc>
        <w:tc>
          <w:tcPr>
            <w:tcW w:w="1417"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r>
              <w:rPr>
                <w:rFonts w:ascii="宋体" w:hAnsi="宋体" w:cs="Arial"/>
                <w:kern w:val="0"/>
                <w:sz w:val="20"/>
                <w:szCs w:val="20"/>
              </w:rPr>
              <w:t>103.44</w:t>
            </w:r>
          </w:p>
        </w:tc>
        <w:tc>
          <w:tcPr>
            <w:tcW w:w="1134" w:type="dxa"/>
            <w:tcBorders>
              <w:top w:val="nil"/>
              <w:left w:val="nil"/>
              <w:bottom w:val="single" w:color="000000" w:sz="4" w:space="0"/>
              <w:right w:val="single" w:color="000000" w:sz="4" w:space="0"/>
            </w:tcBorders>
            <w:shd w:val="clear" w:color="000000" w:fill="FFFFFF"/>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10348" w:type="dxa"/>
            <w:gridSpan w:val="7"/>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20"/>
                <w:szCs w:val="20"/>
              </w:rPr>
            </w:pPr>
            <w:r>
              <w:rPr>
                <w:rFonts w:hint="eastAsia" w:ascii="宋体" w:hAnsi="宋体" w:cs="Arial"/>
                <w:kern w:val="0"/>
                <w:sz w:val="20"/>
                <w:szCs w:val="20"/>
              </w:rPr>
              <w:t>注：本表反映部门本年度一般公共预算财政拨款支出情况。</w:t>
            </w: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vAlign w:val="center"/>
          </w:tcPr>
          <w:p>
            <w:pPr>
              <w:adjustRightInd w:val="0"/>
              <w:snapToGrid w:val="0"/>
              <w:spacing w:line="240" w:lineRule="exact"/>
              <w:jc w:val="righ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10348" w:type="dxa"/>
            <w:gridSpan w:val="7"/>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20"/>
                <w:szCs w:val="20"/>
              </w:rPr>
            </w:pP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10348" w:type="dxa"/>
            <w:gridSpan w:val="7"/>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20"/>
                <w:szCs w:val="20"/>
              </w:rPr>
            </w:pP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vAlign w:val="center"/>
          </w:tcPr>
          <w:p>
            <w:pPr>
              <w:adjustRightInd w:val="0"/>
              <w:snapToGrid w:val="0"/>
              <w:spacing w:line="240" w:lineRule="exact"/>
              <w:jc w:val="right"/>
              <w:rPr>
                <w:rFonts w:ascii="宋体" w:hAnsi="宋体" w:cs="Arial"/>
                <w:b/>
                <w:bCs/>
                <w:kern w:val="0"/>
                <w:sz w:val="20"/>
                <w:szCs w:val="20"/>
              </w:rPr>
            </w:pPr>
          </w:p>
        </w:tc>
      </w:tr>
      <w:tr>
        <w:tblPrEx>
          <w:tblLayout w:type="fixed"/>
          <w:tblCellMar>
            <w:top w:w="0" w:type="dxa"/>
            <w:left w:w="108" w:type="dxa"/>
            <w:bottom w:w="0" w:type="dxa"/>
            <w:right w:w="108" w:type="dxa"/>
          </w:tblCellMar>
        </w:tblPrEx>
        <w:trPr>
          <w:trHeight w:val="300" w:hRule="atLeast"/>
        </w:trPr>
        <w:tc>
          <w:tcPr>
            <w:tcW w:w="10348" w:type="dxa"/>
            <w:gridSpan w:val="7"/>
            <w:tcBorders>
              <w:top w:val="nil"/>
              <w:left w:val="nil"/>
              <w:bottom w:val="nil"/>
              <w:right w:val="nil"/>
            </w:tcBorders>
            <w:shd w:val="clear" w:color="000000" w:fill="FFFFFF"/>
            <w:vAlign w:val="center"/>
          </w:tcPr>
          <w:p>
            <w:pPr>
              <w:adjustRightInd w:val="0"/>
              <w:snapToGrid w:val="0"/>
              <w:spacing w:line="240" w:lineRule="exact"/>
              <w:jc w:val="left"/>
              <w:rPr>
                <w:rFonts w:ascii="宋体" w:hAnsi="宋体" w:cs="Arial"/>
                <w:kern w:val="0"/>
                <w:sz w:val="20"/>
                <w:szCs w:val="20"/>
              </w:rPr>
            </w:pP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tcPr>
          <w:p>
            <w:pPr>
              <w:jc w:val="left"/>
              <w:rPr>
                <w:rFonts w:ascii="宋体" w:hAnsi="宋体" w:cs="Times New Roman"/>
                <w:kern w:val="0"/>
                <w:sz w:val="24"/>
                <w:szCs w:val="24"/>
              </w:rPr>
            </w:pPr>
          </w:p>
        </w:tc>
        <w:tc>
          <w:tcPr>
            <w:tcW w:w="1560" w:type="dxa"/>
            <w:vAlign w:val="center"/>
          </w:tcPr>
          <w:p>
            <w:pPr>
              <w:adjustRightInd w:val="0"/>
              <w:snapToGrid w:val="0"/>
              <w:spacing w:line="240" w:lineRule="exact"/>
              <w:jc w:val="right"/>
              <w:rPr>
                <w:rFonts w:ascii="宋体" w:hAnsi="宋体" w:cs="Arial"/>
                <w:kern w:val="0"/>
                <w:sz w:val="20"/>
                <w:szCs w:val="20"/>
              </w:rPr>
            </w:pPr>
          </w:p>
        </w:tc>
      </w:tr>
    </w:tbl>
    <w:p>
      <w:pPr>
        <w:pStyle w:val="13"/>
        <w:spacing w:before="0" w:beforeAutospacing="0"/>
        <w:outlineLvl w:val="1"/>
        <w:rPr>
          <w:shd w:val="clear" w:color="auto" w:fill="FFFFFF"/>
        </w:rPr>
        <w:sectPr>
          <w:pgSz w:w="11915" w:h="16851"/>
          <w:pgMar w:top="960" w:right="1800" w:bottom="1296" w:left="1800" w:header="851" w:footer="992" w:gutter="0"/>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11" w:name="_Toc21182"/>
      <w:r>
        <w:rPr>
          <w:rFonts w:hint="eastAsia" w:ascii="楷体_GB2312" w:hAnsi="楷体" w:eastAsia="楷体_GB2312" w:cs="楷体"/>
          <w:sz w:val="32"/>
          <w:szCs w:val="32"/>
          <w:shd w:val="clear" w:color="auto" w:fill="FFFFFF"/>
        </w:rPr>
        <w:t>六、一般公共预算财政拨款基本支出决算表</w:t>
      </w:r>
      <w:bookmarkEnd w:id="11"/>
    </w:p>
    <w:tbl>
      <w:tblPr>
        <w:tblStyle w:val="19"/>
        <w:tblW w:w="17611" w:type="dxa"/>
        <w:tblInd w:w="0" w:type="dxa"/>
        <w:tblLayout w:type="fixed"/>
        <w:tblCellMar>
          <w:top w:w="0" w:type="dxa"/>
          <w:left w:w="0" w:type="dxa"/>
          <w:bottom w:w="0" w:type="dxa"/>
          <w:right w:w="0" w:type="dxa"/>
        </w:tblCellMar>
      </w:tblPr>
      <w:tblGrid>
        <w:gridCol w:w="1149"/>
        <w:gridCol w:w="2268"/>
        <w:gridCol w:w="1216"/>
        <w:gridCol w:w="121"/>
        <w:gridCol w:w="931"/>
        <w:gridCol w:w="241"/>
        <w:gridCol w:w="530"/>
        <w:gridCol w:w="630"/>
        <w:gridCol w:w="300"/>
        <w:gridCol w:w="1357"/>
        <w:gridCol w:w="344"/>
        <w:gridCol w:w="1276"/>
        <w:gridCol w:w="1843"/>
        <w:gridCol w:w="1800"/>
        <w:gridCol w:w="210"/>
        <w:gridCol w:w="3395"/>
      </w:tblGrid>
      <w:tr>
        <w:tblPrEx>
          <w:tblLayout w:type="fixed"/>
          <w:tblCellMar>
            <w:top w:w="0" w:type="dxa"/>
            <w:left w:w="0" w:type="dxa"/>
            <w:bottom w:w="0" w:type="dxa"/>
            <w:right w:w="0" w:type="dxa"/>
          </w:tblCellMar>
        </w:tblPrEx>
        <w:trPr>
          <w:gridAfter w:val="2"/>
          <w:wAfter w:w="3605" w:type="dxa"/>
          <w:trHeight w:val="300" w:hRule="atLeast"/>
        </w:trPr>
        <w:tc>
          <w:tcPr>
            <w:tcW w:w="1149"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3605" w:type="dxa"/>
            <w:gridSpan w:val="3"/>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1172"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530"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630"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1657"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1620"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1843"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　</w:t>
            </w:r>
          </w:p>
        </w:tc>
        <w:tc>
          <w:tcPr>
            <w:tcW w:w="1800" w:type="dxa"/>
            <w:tcBorders>
              <w:top w:val="nil"/>
              <w:left w:val="nil"/>
              <w:bottom w:val="nil"/>
            </w:tcBorders>
            <w:shd w:val="clear" w:color="auto" w:fill="FFFFFF"/>
            <w:tcMar>
              <w:top w:w="15" w:type="dxa"/>
              <w:left w:w="15" w:type="dxa"/>
              <w:right w:w="15" w:type="dxa"/>
            </w:tcMar>
            <w:vAlign w:val="center"/>
          </w:tcPr>
          <w:p>
            <w:pPr>
              <w:jc w:val="right"/>
              <w:textAlignment w:val="center"/>
              <w:rPr>
                <w:rFonts w:ascii="宋体" w:hAnsi="宋体"/>
                <w:color w:val="000000"/>
                <w:kern w:val="0"/>
                <w:sz w:val="18"/>
                <w:szCs w:val="18"/>
              </w:rPr>
            </w:pPr>
            <w:r>
              <w:rPr>
                <w:rFonts w:hint="eastAsia" w:ascii="宋体" w:hAnsi="宋体"/>
                <w:color w:val="000000"/>
                <w:kern w:val="0"/>
                <w:sz w:val="18"/>
                <w:szCs w:val="18"/>
              </w:rPr>
              <w:t>公开</w:t>
            </w:r>
            <w:r>
              <w:rPr>
                <w:rFonts w:ascii="宋体" w:hAnsi="宋体"/>
                <w:color w:val="000000"/>
                <w:kern w:val="0"/>
                <w:sz w:val="18"/>
                <w:szCs w:val="18"/>
              </w:rPr>
              <w:t>06</w:t>
            </w:r>
            <w:r>
              <w:rPr>
                <w:rFonts w:hint="eastAsia" w:ascii="宋体" w:hAnsi="宋体"/>
                <w:color w:val="000000"/>
                <w:kern w:val="0"/>
                <w:sz w:val="18"/>
                <w:szCs w:val="18"/>
              </w:rPr>
              <w:t>表</w:t>
            </w:r>
          </w:p>
        </w:tc>
      </w:tr>
      <w:tr>
        <w:tblPrEx>
          <w:tblLayout w:type="fixed"/>
          <w:tblCellMar>
            <w:top w:w="0" w:type="dxa"/>
            <w:left w:w="108" w:type="dxa"/>
            <w:bottom w:w="0" w:type="dxa"/>
            <w:right w:w="108" w:type="dxa"/>
          </w:tblCellMar>
        </w:tblPrEx>
        <w:trPr>
          <w:gridAfter w:val="2"/>
          <w:wAfter w:w="3605" w:type="dxa"/>
          <w:trHeight w:val="300" w:hRule="atLeast"/>
        </w:trPr>
        <w:tc>
          <w:tcPr>
            <w:tcW w:w="3417" w:type="dxa"/>
            <w:gridSpan w:val="2"/>
            <w:tcBorders>
              <w:top w:val="nil"/>
              <w:left w:val="nil"/>
              <w:bottom w:val="single" w:color="808080" w:sz="4" w:space="0"/>
              <w:right w:val="nil"/>
            </w:tcBorders>
            <w:shd w:val="clear" w:color="000000" w:fill="FFFFFF"/>
            <w:vAlign w:val="center"/>
          </w:tcPr>
          <w:p>
            <w:pPr>
              <w:jc w:val="left"/>
              <w:rPr>
                <w:rFonts w:ascii="宋体" w:hAnsi="宋体" w:cs="Arial"/>
                <w:color w:val="000000"/>
                <w:kern w:val="0"/>
                <w:sz w:val="20"/>
                <w:szCs w:val="20"/>
              </w:rPr>
            </w:pPr>
            <w:r>
              <w:rPr>
                <w:rFonts w:hint="eastAsia" w:ascii="宋体" w:hAnsi="宋体" w:cs="Arial"/>
                <w:color w:val="000000"/>
                <w:kern w:val="0"/>
                <w:sz w:val="20"/>
                <w:szCs w:val="20"/>
              </w:rPr>
              <w:t>部门：</w:t>
            </w:r>
            <w:r>
              <w:rPr>
                <w:rFonts w:hint="eastAsia" w:ascii="宋体" w:hAnsi="宋体" w:cs="Arial"/>
                <w:color w:val="000000"/>
                <w:kern w:val="0"/>
                <w:sz w:val="22"/>
                <w:szCs w:val="22"/>
              </w:rPr>
              <w:t>涟源市人民检察院</w:t>
            </w:r>
          </w:p>
        </w:tc>
        <w:tc>
          <w:tcPr>
            <w:tcW w:w="1216"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052" w:type="dxa"/>
            <w:gridSpan w:val="2"/>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701" w:type="dxa"/>
            <w:gridSpan w:val="4"/>
            <w:tcBorders>
              <w:top w:val="nil"/>
              <w:left w:val="nil"/>
              <w:bottom w:val="single" w:color="auto" w:sz="4" w:space="0"/>
              <w:right w:val="nil"/>
            </w:tcBorders>
            <w:shd w:val="clear" w:color="000000" w:fill="FFFFFF"/>
            <w:vAlign w:val="center"/>
          </w:tcPr>
          <w:p>
            <w:pPr>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2020年度</w:t>
            </w:r>
            <w:r>
              <w:rPr>
                <w:rFonts w:hint="eastAsia" w:ascii="宋体" w:hAnsi="宋体" w:cs="Arial"/>
                <w:color w:val="000000"/>
                <w:kern w:val="0"/>
                <w:sz w:val="22"/>
                <w:szCs w:val="22"/>
              </w:rPr>
              <w:t>　</w:t>
            </w:r>
          </w:p>
        </w:tc>
        <w:tc>
          <w:tcPr>
            <w:tcW w:w="1701" w:type="dxa"/>
            <w:gridSpan w:val="2"/>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276"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43"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800" w:type="dxa"/>
            <w:tcBorders>
              <w:top w:val="nil"/>
              <w:left w:val="nil"/>
              <w:bottom w:val="single" w:color="auto" w:sz="4" w:space="0"/>
            </w:tcBorders>
            <w:shd w:val="clear" w:color="000000" w:fill="FFFFFF"/>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gridAfter w:val="2"/>
          <w:wAfter w:w="3605" w:type="dxa"/>
          <w:trHeight w:val="300" w:hRule="atLeast"/>
        </w:trPr>
        <w:tc>
          <w:tcPr>
            <w:tcW w:w="4633" w:type="dxa"/>
            <w:gridSpan w:val="3"/>
            <w:tcBorders>
              <w:top w:val="nil"/>
              <w:left w:val="single" w:color="000000" w:sz="4" w:space="0"/>
              <w:bottom w:val="single" w:color="000000"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人员经费</w:t>
            </w:r>
          </w:p>
        </w:tc>
        <w:tc>
          <w:tcPr>
            <w:tcW w:w="9373" w:type="dxa"/>
            <w:gridSpan w:val="11"/>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公用经费</w:t>
            </w:r>
          </w:p>
        </w:tc>
      </w:tr>
      <w:tr>
        <w:tblPrEx>
          <w:tblLayout w:type="fixed"/>
          <w:tblCellMar>
            <w:top w:w="0" w:type="dxa"/>
            <w:left w:w="108" w:type="dxa"/>
            <w:bottom w:w="0" w:type="dxa"/>
            <w:right w:w="108" w:type="dxa"/>
          </w:tblCellMar>
        </w:tblPrEx>
        <w:trPr>
          <w:gridAfter w:val="2"/>
          <w:wAfter w:w="3605" w:type="dxa"/>
          <w:trHeight w:val="465"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科目编码</w:t>
            </w:r>
          </w:p>
        </w:tc>
        <w:tc>
          <w:tcPr>
            <w:tcW w:w="2268"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科目名称</w:t>
            </w:r>
          </w:p>
        </w:tc>
        <w:tc>
          <w:tcPr>
            <w:tcW w:w="12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决算数</w:t>
            </w:r>
          </w:p>
        </w:tc>
        <w:tc>
          <w:tcPr>
            <w:tcW w:w="1052"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科目编码</w:t>
            </w:r>
          </w:p>
        </w:tc>
        <w:tc>
          <w:tcPr>
            <w:tcW w:w="1701" w:type="dxa"/>
            <w:gridSpan w:val="4"/>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科目名称</w:t>
            </w:r>
          </w:p>
        </w:tc>
        <w:tc>
          <w:tcPr>
            <w:tcW w:w="1701"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决算数</w:t>
            </w:r>
          </w:p>
        </w:tc>
        <w:tc>
          <w:tcPr>
            <w:tcW w:w="127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科目编码</w:t>
            </w:r>
          </w:p>
        </w:tc>
        <w:tc>
          <w:tcPr>
            <w:tcW w:w="1843"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科目名称</w:t>
            </w:r>
          </w:p>
        </w:tc>
        <w:tc>
          <w:tcPr>
            <w:tcW w:w="180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决算数</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工资福利支出</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1118.72</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商品和服务支出</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515.78</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307</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债务利息及费用支出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30101</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基本工资</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350.00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30201</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54.87</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30701</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国内债务付息</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30102</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津贴补贴</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235.00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30202</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印刷费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18.00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30702</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国外债务付息</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30103</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奖金</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120.5</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30203</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咨询费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资本性支出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30106</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伙食补助费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30204</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手续费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31001</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房屋建筑物购建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30107</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绩效工资</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30205</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水费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31002</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办公设备购置</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30108</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机关事业单位基本养老保险缴费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89.28</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30206</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电费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31003</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专用设备购置</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30109</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职业年金缴费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30207</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邮电费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4.00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31005</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基础设施建设</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30110</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职工基本医疗保险缴费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44.64</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30208</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取暖费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31006</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大型修缮</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30111</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公务员医疗补助缴费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29.06</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30209</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物业管理费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25.2</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31007</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信息网络及软件购置更新</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30112</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其他社会保障缴费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6.3</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30211</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差旅费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89.00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31008</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物资储备</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30113</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住房公积金</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103.44</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30212</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因公出国（境）费用</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31009</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土地补偿</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30114</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30213</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维修（护）费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13.00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31010</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安置补助</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30199</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其他工资福利支出</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140.5</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30214</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租赁费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1.48</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31011</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地上附着物和青苗补偿</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对个人和家庭的补助</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13.13</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30215</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会议费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31012</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拆迁补偿</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30301</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离休费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30216</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培训费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31013</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公务用车购置</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30302</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退休费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30217</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公务接待费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19.83</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31019</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其他交通工具购置</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30303</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退职（役）费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30218</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专用材料费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31021</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文物和陈列品购置</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30304</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抚恤金</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30224</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被装购置费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31022</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无形资产购置</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30305</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生活补助</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30225</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专用燃料费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31099</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其他资本性支出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30306</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救济费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30226</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劳务费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29.5</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399</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其他支出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30307</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医疗费补助</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30227</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委托业务费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39906</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赠与</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30308</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助学金</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30228</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工会经费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23.28</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39907</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国家赔偿费用支出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30309</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奖励金</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3.13</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30229</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福利费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12.8</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39908</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对民间非营利组织和群众性自治组织补贴</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30310</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个人农业生产补贴</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30231</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公务用车运行维护费</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34.96</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39999</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其他支出</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30311</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代缴社会保险费</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30239</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其他交通费用</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30399</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其他对个人和家庭的补助</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30240</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税金及附加费用</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2"/>
          <w:wAfter w:w="3605" w:type="dxa"/>
          <w:trHeight w:val="300" w:hRule="atLeast"/>
        </w:trPr>
        <w:tc>
          <w:tcPr>
            <w:tcW w:w="1149" w:type="dxa"/>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2268"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52" w:type="dxa"/>
            <w:gridSpan w:val="2"/>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30299</w:t>
            </w:r>
          </w:p>
        </w:tc>
        <w:tc>
          <w:tcPr>
            <w:tcW w:w="1701" w:type="dxa"/>
            <w:gridSpan w:val="4"/>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ascii="宋体" w:hAnsi="宋体" w:cs="Arial"/>
                <w:kern w:val="0"/>
                <w:sz w:val="20"/>
                <w:szCs w:val="20"/>
              </w:rPr>
              <w:t xml:space="preserve">  </w:t>
            </w:r>
            <w:r>
              <w:rPr>
                <w:rFonts w:hint="eastAsia" w:ascii="宋体" w:hAnsi="宋体" w:cs="Arial"/>
                <w:kern w:val="0"/>
                <w:sz w:val="20"/>
                <w:szCs w:val="20"/>
              </w:rPr>
              <w:t>其他商品和服务支出</w:t>
            </w:r>
          </w:p>
        </w:tc>
        <w:tc>
          <w:tcPr>
            <w:tcW w:w="1701"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127.86</w:t>
            </w:r>
          </w:p>
        </w:tc>
        <w:tc>
          <w:tcPr>
            <w:tcW w:w="1276"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843" w:type="dxa"/>
            <w:tcBorders>
              <w:top w:val="nil"/>
              <w:left w:val="nil"/>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p>
        </w:tc>
      </w:tr>
      <w:tr>
        <w:tblPrEx>
          <w:tblLayout w:type="fixed"/>
          <w:tblCellMar>
            <w:top w:w="0" w:type="dxa"/>
            <w:left w:w="108" w:type="dxa"/>
            <w:bottom w:w="0" w:type="dxa"/>
            <w:right w:w="108" w:type="dxa"/>
          </w:tblCellMar>
        </w:tblPrEx>
        <w:trPr>
          <w:gridAfter w:val="2"/>
          <w:wAfter w:w="3605" w:type="dxa"/>
          <w:trHeight w:val="300" w:hRule="atLeast"/>
        </w:trPr>
        <w:tc>
          <w:tcPr>
            <w:tcW w:w="3417" w:type="dxa"/>
            <w:gridSpan w:val="2"/>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人员经费合计</w:t>
            </w:r>
          </w:p>
        </w:tc>
        <w:tc>
          <w:tcPr>
            <w:tcW w:w="12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1131.85</w:t>
            </w:r>
          </w:p>
        </w:tc>
        <w:tc>
          <w:tcPr>
            <w:tcW w:w="7573" w:type="dxa"/>
            <w:gridSpan w:val="10"/>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公用经费合计</w:t>
            </w:r>
          </w:p>
        </w:tc>
        <w:tc>
          <w:tcPr>
            <w:tcW w:w="180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515.77</w:t>
            </w:r>
          </w:p>
        </w:tc>
      </w:tr>
      <w:tr>
        <w:tblPrEx>
          <w:tblLayout w:type="fixed"/>
          <w:tblCellMar>
            <w:top w:w="0" w:type="dxa"/>
            <w:left w:w="108" w:type="dxa"/>
            <w:bottom w:w="0" w:type="dxa"/>
            <w:right w:w="108" w:type="dxa"/>
          </w:tblCellMar>
        </w:tblPrEx>
        <w:trPr>
          <w:trHeight w:val="300" w:hRule="atLeast"/>
        </w:trPr>
        <w:tc>
          <w:tcPr>
            <w:tcW w:w="14006" w:type="dxa"/>
            <w:gridSpan w:val="14"/>
            <w:tcBorders>
              <w:top w:val="nil"/>
              <w:left w:val="nil"/>
              <w:bottom w:val="nil"/>
              <w:right w:val="nil"/>
            </w:tcBorders>
            <w:shd w:val="clear" w:color="000000" w:fill="FFFFFF"/>
            <w:vAlign w:val="center"/>
          </w:tcPr>
          <w:p>
            <w:pPr>
              <w:jc w:val="left"/>
              <w:rPr>
                <w:rFonts w:ascii="宋体" w:hAnsi="宋体" w:cs="Arial"/>
                <w:kern w:val="0"/>
                <w:sz w:val="20"/>
                <w:szCs w:val="20"/>
              </w:rPr>
            </w:pPr>
            <w:r>
              <w:rPr>
                <w:rFonts w:hint="eastAsia" w:ascii="宋体" w:hAnsi="宋体" w:cs="Arial"/>
                <w:kern w:val="0"/>
                <w:sz w:val="20"/>
                <w:szCs w:val="20"/>
              </w:rPr>
              <w:t>注：本表反映部门本年度一般公共预算财政拨款基本支出明细情况。</w:t>
            </w:r>
          </w:p>
        </w:tc>
        <w:tc>
          <w:tcPr>
            <w:tcW w:w="3605" w:type="dxa"/>
            <w:gridSpan w:val="2"/>
            <w:tcBorders>
              <w:top w:val="nil"/>
              <w:left w:val="nil"/>
              <w:bottom w:val="nil"/>
              <w:right w:val="nil"/>
            </w:tcBorders>
            <w:shd w:val="clear" w:color="auto" w:fill="FFFFFF"/>
            <w:vAlign w:val="center"/>
          </w:tcPr>
          <w:p>
            <w:pPr>
              <w:jc w:val="left"/>
              <w:rPr>
                <w:rFonts w:ascii="宋体" w:hAnsi="宋体"/>
                <w:color w:val="000000"/>
                <w:kern w:val="0"/>
                <w:sz w:val="18"/>
                <w:szCs w:val="18"/>
              </w:rPr>
            </w:pPr>
          </w:p>
        </w:tc>
      </w:tr>
      <w:tr>
        <w:tblPrEx>
          <w:tblLayout w:type="fixed"/>
          <w:tblCellMar>
            <w:top w:w="0" w:type="dxa"/>
            <w:left w:w="0" w:type="dxa"/>
            <w:bottom w:w="0" w:type="dxa"/>
            <w:right w:w="0" w:type="dxa"/>
          </w:tblCellMar>
        </w:tblPrEx>
        <w:trPr>
          <w:gridAfter w:val="1"/>
          <w:wAfter w:w="3395" w:type="dxa"/>
          <w:trHeight w:val="300" w:hRule="atLeast"/>
        </w:trPr>
        <w:tc>
          <w:tcPr>
            <w:tcW w:w="1149"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3605" w:type="dxa"/>
            <w:gridSpan w:val="3"/>
            <w:tcBorders>
              <w:top w:val="nil"/>
              <w:left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172"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530"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630"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657"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620"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3643" w:type="dxa"/>
            <w:gridSpan w:val="2"/>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210" w:type="dxa"/>
            <w:tcBorders>
              <w:top w:val="nil"/>
              <w:left w:val="nil"/>
              <w:bottom w:val="nil"/>
            </w:tcBorders>
            <w:shd w:val="clear" w:color="auto" w:fill="FFFFFF"/>
            <w:tcMar>
              <w:top w:w="15" w:type="dxa"/>
              <w:left w:w="15" w:type="dxa"/>
              <w:right w:w="15" w:type="dxa"/>
            </w:tcMar>
            <w:vAlign w:val="center"/>
          </w:tcPr>
          <w:p>
            <w:pPr>
              <w:jc w:val="right"/>
              <w:textAlignment w:val="center"/>
              <w:rPr>
                <w:rFonts w:ascii="宋体" w:hAnsi="宋体"/>
                <w:color w:val="000000"/>
                <w:kern w:val="0"/>
                <w:sz w:val="18"/>
                <w:szCs w:val="18"/>
              </w:rPr>
            </w:pPr>
          </w:p>
        </w:tc>
      </w:tr>
      <w:tr>
        <w:tblPrEx>
          <w:tblLayout w:type="fixed"/>
          <w:tblCellMar>
            <w:top w:w="0" w:type="dxa"/>
            <w:left w:w="0" w:type="dxa"/>
            <w:bottom w:w="0" w:type="dxa"/>
            <w:right w:w="0" w:type="dxa"/>
          </w:tblCellMar>
        </w:tblPrEx>
        <w:trPr>
          <w:gridAfter w:val="1"/>
          <w:wAfter w:w="3395" w:type="dxa"/>
          <w:trHeight w:val="300" w:hRule="atLeast"/>
        </w:trPr>
        <w:tc>
          <w:tcPr>
            <w:tcW w:w="4754" w:type="dxa"/>
            <w:gridSpan w:val="4"/>
            <w:tcBorders>
              <w:top w:val="nil"/>
              <w:left w:val="nil"/>
              <w:right w:val="nil"/>
            </w:tcBorders>
            <w:shd w:val="clear" w:color="auto" w:fill="FFFFFF"/>
            <w:tcMar>
              <w:top w:w="15" w:type="dxa"/>
              <w:left w:w="15" w:type="dxa"/>
              <w:right w:w="15" w:type="dxa"/>
            </w:tcMar>
            <w:vAlign w:val="center"/>
          </w:tcPr>
          <w:p>
            <w:pPr>
              <w:jc w:val="left"/>
              <w:textAlignment w:val="center"/>
              <w:rPr>
                <w:rFonts w:ascii="宋体" w:hAnsi="宋体"/>
                <w:color w:val="000000"/>
                <w:kern w:val="0"/>
                <w:sz w:val="18"/>
                <w:szCs w:val="18"/>
              </w:rPr>
            </w:pPr>
          </w:p>
        </w:tc>
        <w:tc>
          <w:tcPr>
            <w:tcW w:w="1172" w:type="dxa"/>
            <w:gridSpan w:val="2"/>
            <w:tcBorders>
              <w:top w:val="nil"/>
              <w:left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530" w:type="dxa"/>
            <w:tcBorders>
              <w:top w:val="nil"/>
              <w:left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630" w:type="dxa"/>
            <w:tcBorders>
              <w:top w:val="nil"/>
              <w:left w:val="nil"/>
              <w:right w:val="nil"/>
            </w:tcBorders>
            <w:shd w:val="clear" w:color="auto" w:fill="FFFFFF"/>
            <w:tcMar>
              <w:top w:w="15" w:type="dxa"/>
              <w:left w:w="15" w:type="dxa"/>
              <w:right w:w="15" w:type="dxa"/>
            </w:tcMar>
            <w:vAlign w:val="center"/>
          </w:tcPr>
          <w:p>
            <w:pPr>
              <w:jc w:val="center"/>
              <w:rPr>
                <w:rFonts w:ascii="宋体" w:hAnsi="宋体"/>
                <w:color w:val="000000"/>
                <w:kern w:val="0"/>
                <w:sz w:val="22"/>
                <w:szCs w:val="22"/>
              </w:rPr>
            </w:pPr>
          </w:p>
        </w:tc>
        <w:tc>
          <w:tcPr>
            <w:tcW w:w="1657" w:type="dxa"/>
            <w:gridSpan w:val="2"/>
            <w:tcBorders>
              <w:top w:val="nil"/>
              <w:left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620" w:type="dxa"/>
            <w:gridSpan w:val="2"/>
            <w:tcBorders>
              <w:top w:val="nil"/>
              <w:left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3643" w:type="dxa"/>
            <w:gridSpan w:val="2"/>
            <w:tcBorders>
              <w:top w:val="nil"/>
              <w:left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210" w:type="dxa"/>
            <w:tcBorders>
              <w:top w:val="nil"/>
              <w:left w:val="nil"/>
            </w:tcBorders>
            <w:shd w:val="clear" w:color="auto" w:fill="FFFFFF"/>
            <w:tcMar>
              <w:top w:w="15" w:type="dxa"/>
              <w:left w:w="15" w:type="dxa"/>
              <w:right w:w="15" w:type="dxa"/>
            </w:tcMar>
            <w:vAlign w:val="center"/>
          </w:tcPr>
          <w:p>
            <w:pPr>
              <w:jc w:val="right"/>
              <w:textAlignment w:val="center"/>
              <w:rPr>
                <w:rFonts w:ascii="宋体" w:hAnsi="宋体"/>
                <w:color w:val="000000"/>
                <w:kern w:val="0"/>
                <w:sz w:val="18"/>
                <w:szCs w:val="18"/>
              </w:rPr>
            </w:pPr>
          </w:p>
        </w:tc>
      </w:tr>
    </w:tbl>
    <w:p>
      <w:pPr>
        <w:pStyle w:val="13"/>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12" w:name="_Toc15088"/>
      <w:r>
        <w:rPr>
          <w:rFonts w:hint="eastAsia" w:ascii="楷体_GB2312" w:hAnsi="楷体" w:eastAsia="楷体_GB2312" w:cs="楷体"/>
          <w:sz w:val="32"/>
          <w:szCs w:val="32"/>
          <w:shd w:val="clear" w:color="auto" w:fill="FFFFFF"/>
        </w:rPr>
        <w:t>七、一般公共预算财政拨款“三公”经费支出决算表</w:t>
      </w:r>
      <w:bookmarkEnd w:id="12"/>
    </w:p>
    <w:tbl>
      <w:tblPr>
        <w:tblStyle w:val="19"/>
        <w:tblW w:w="14757" w:type="dxa"/>
        <w:tblInd w:w="93" w:type="dxa"/>
        <w:tblLayout w:type="fixed"/>
        <w:tblCellMar>
          <w:top w:w="0" w:type="dxa"/>
          <w:left w:w="108" w:type="dxa"/>
          <w:bottom w:w="0" w:type="dxa"/>
          <w:right w:w="108" w:type="dxa"/>
        </w:tblCellMar>
      </w:tblPr>
      <w:tblGrid>
        <w:gridCol w:w="1420"/>
        <w:gridCol w:w="1420"/>
        <w:gridCol w:w="1420"/>
        <w:gridCol w:w="1016"/>
        <w:gridCol w:w="1420"/>
        <w:gridCol w:w="1279"/>
        <w:gridCol w:w="1016"/>
        <w:gridCol w:w="1134"/>
        <w:gridCol w:w="1016"/>
        <w:gridCol w:w="944"/>
        <w:gridCol w:w="1420"/>
        <w:gridCol w:w="1252"/>
      </w:tblGrid>
      <w:tr>
        <w:tblPrEx>
          <w:tblLayout w:type="fixed"/>
          <w:tblCellMar>
            <w:top w:w="0" w:type="dxa"/>
            <w:left w:w="108" w:type="dxa"/>
            <w:bottom w:w="0" w:type="dxa"/>
            <w:right w:w="108" w:type="dxa"/>
          </w:tblCellMar>
        </w:tblPrEx>
        <w:trPr>
          <w:trHeight w:val="300" w:hRule="atLeast"/>
        </w:trPr>
        <w:tc>
          <w:tcPr>
            <w:tcW w:w="1420" w:type="dxa"/>
            <w:tcBorders>
              <w:top w:val="nil"/>
              <w:left w:val="nil"/>
              <w:bottom w:val="nil"/>
              <w:right w:val="nil"/>
            </w:tcBorders>
            <w:shd w:val="clear" w:color="000000" w:fill="FFFFFF"/>
            <w:vAlign w:val="center"/>
          </w:tcPr>
          <w:p>
            <w:pPr>
              <w:jc w:val="left"/>
              <w:rPr>
                <w:rFonts w:ascii="宋体" w:hAnsi="宋体" w:cs="Arial"/>
                <w:kern w:val="0"/>
                <w:sz w:val="22"/>
                <w:szCs w:val="22"/>
              </w:rPr>
            </w:pPr>
            <w:r>
              <w:rPr>
                <w:rFonts w:hint="eastAsia" w:ascii="宋体" w:hAnsi="宋体" w:cs="Arial"/>
                <w:kern w:val="0"/>
                <w:sz w:val="22"/>
                <w:szCs w:val="22"/>
              </w:rPr>
              <w:t>　</w:t>
            </w:r>
          </w:p>
        </w:tc>
        <w:tc>
          <w:tcPr>
            <w:tcW w:w="142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42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016"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42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279"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016"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134"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016"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944"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420"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252" w:type="dxa"/>
            <w:tcBorders>
              <w:top w:val="nil"/>
              <w:left w:val="nil"/>
              <w:bottom w:val="nil"/>
            </w:tcBorders>
            <w:shd w:val="clear" w:color="000000" w:fill="FFFFFF"/>
            <w:vAlign w:val="center"/>
          </w:tcPr>
          <w:p>
            <w:pPr>
              <w:jc w:val="right"/>
              <w:rPr>
                <w:rFonts w:ascii="宋体" w:hAnsi="宋体" w:cs="Arial"/>
                <w:kern w:val="0"/>
                <w:sz w:val="22"/>
                <w:szCs w:val="22"/>
              </w:rPr>
            </w:pPr>
            <w:r>
              <w:rPr>
                <w:rFonts w:hint="eastAsia" w:ascii="宋体" w:hAnsi="宋体" w:cs="Arial"/>
                <w:kern w:val="0"/>
                <w:sz w:val="22"/>
                <w:szCs w:val="22"/>
              </w:rPr>
              <w:t>公开</w:t>
            </w:r>
            <w:r>
              <w:rPr>
                <w:rFonts w:ascii="宋体" w:hAnsi="宋体" w:cs="Arial"/>
                <w:kern w:val="0"/>
                <w:sz w:val="22"/>
                <w:szCs w:val="22"/>
              </w:rPr>
              <w:t>07</w:t>
            </w:r>
            <w:r>
              <w:rPr>
                <w:rFonts w:hint="eastAsia" w:ascii="宋体" w:hAnsi="宋体" w:cs="Arial"/>
                <w:kern w:val="0"/>
                <w:sz w:val="22"/>
                <w:szCs w:val="22"/>
              </w:rPr>
              <w:t>表</w:t>
            </w:r>
          </w:p>
        </w:tc>
      </w:tr>
      <w:tr>
        <w:tblPrEx>
          <w:tblLayout w:type="fixed"/>
          <w:tblCellMar>
            <w:top w:w="0" w:type="dxa"/>
            <w:left w:w="108" w:type="dxa"/>
            <w:bottom w:w="0" w:type="dxa"/>
            <w:right w:w="108" w:type="dxa"/>
          </w:tblCellMar>
        </w:tblPrEx>
        <w:trPr>
          <w:trHeight w:val="300" w:hRule="atLeast"/>
        </w:trPr>
        <w:tc>
          <w:tcPr>
            <w:tcW w:w="2840" w:type="dxa"/>
            <w:gridSpan w:val="2"/>
            <w:tcBorders>
              <w:top w:val="nil"/>
              <w:left w:val="nil"/>
              <w:bottom w:val="single" w:color="808080" w:sz="4" w:space="0"/>
              <w:right w:val="nil"/>
            </w:tcBorders>
            <w:shd w:val="clear" w:color="000000" w:fill="FFFFFF"/>
            <w:vAlign w:val="center"/>
          </w:tcPr>
          <w:p>
            <w:pPr>
              <w:jc w:val="left"/>
              <w:rPr>
                <w:rFonts w:ascii="宋体" w:hAnsi="宋体" w:cs="Arial"/>
                <w:kern w:val="0"/>
                <w:sz w:val="22"/>
                <w:szCs w:val="22"/>
              </w:rPr>
            </w:pPr>
            <w:r>
              <w:rPr>
                <w:rFonts w:hint="eastAsia" w:ascii="宋体" w:hAnsi="宋体" w:cs="Arial"/>
                <w:kern w:val="0"/>
                <w:sz w:val="22"/>
                <w:szCs w:val="22"/>
              </w:rPr>
              <w:t>部门：</w:t>
            </w:r>
            <w:r>
              <w:rPr>
                <w:rFonts w:hint="eastAsia" w:ascii="宋体" w:hAnsi="宋体" w:cs="Arial"/>
                <w:color w:val="000000"/>
                <w:kern w:val="0"/>
                <w:sz w:val="22"/>
                <w:szCs w:val="22"/>
              </w:rPr>
              <w:t>涟源市人民检察院</w:t>
            </w:r>
          </w:p>
        </w:tc>
        <w:tc>
          <w:tcPr>
            <w:tcW w:w="1420"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016"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420" w:type="dxa"/>
            <w:tcBorders>
              <w:top w:val="nil"/>
              <w:left w:val="nil"/>
              <w:bottom w:val="single" w:color="808080"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279" w:type="dxa"/>
            <w:tcBorders>
              <w:top w:val="nil"/>
              <w:left w:val="nil"/>
              <w:bottom w:val="single" w:color="808080" w:sz="4" w:space="0"/>
              <w:right w:val="nil"/>
            </w:tcBorders>
            <w:shd w:val="clear" w:color="000000" w:fill="FFFFFF"/>
            <w:vAlign w:val="center"/>
          </w:tcPr>
          <w:p>
            <w:pPr>
              <w:jc w:val="center"/>
              <w:rPr>
                <w:rFonts w:ascii="宋体" w:hAnsi="宋体" w:cs="Arial"/>
                <w:kern w:val="0"/>
                <w:sz w:val="22"/>
                <w:szCs w:val="22"/>
              </w:rPr>
            </w:pPr>
            <w:r>
              <w:rPr>
                <w:rFonts w:ascii="宋体" w:hAnsi="宋体" w:cs="Arial"/>
                <w:kern w:val="0"/>
                <w:sz w:val="22"/>
                <w:szCs w:val="22"/>
              </w:rPr>
              <w:t>2020</w:t>
            </w:r>
            <w:r>
              <w:rPr>
                <w:rFonts w:hint="eastAsia" w:ascii="宋体" w:hAnsi="宋体" w:cs="Arial"/>
                <w:kern w:val="0"/>
                <w:sz w:val="22"/>
                <w:szCs w:val="22"/>
              </w:rPr>
              <w:t>年度</w:t>
            </w:r>
          </w:p>
        </w:tc>
        <w:tc>
          <w:tcPr>
            <w:tcW w:w="1016"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134"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016"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944" w:type="dxa"/>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2672" w:type="dxa"/>
            <w:gridSpan w:val="2"/>
            <w:tcBorders>
              <w:top w:val="nil"/>
              <w:left w:val="nil"/>
              <w:bottom w:val="single" w:color="auto" w:sz="4" w:space="0"/>
            </w:tcBorders>
            <w:shd w:val="clear" w:color="000000" w:fill="FFFFFF"/>
            <w:vAlign w:val="center"/>
          </w:tcPr>
          <w:p>
            <w:pPr>
              <w:jc w:val="right"/>
              <w:rPr>
                <w:rFonts w:ascii="宋体" w:hAnsi="宋体" w:cs="Arial"/>
                <w:kern w:val="0"/>
                <w:sz w:val="22"/>
                <w:szCs w:val="22"/>
              </w:rPr>
            </w:pPr>
            <w:r>
              <w:rPr>
                <w:rFonts w:hint="eastAsia" w:ascii="宋体" w:hAnsi="宋体" w:cs="Arial"/>
                <w:kern w:val="0"/>
                <w:sz w:val="18"/>
                <w:szCs w:val="18"/>
              </w:rPr>
              <w:t>　</w:t>
            </w:r>
            <w:r>
              <w:rPr>
                <w:rFonts w:hint="eastAsia" w:ascii="宋体" w:hAnsi="宋体" w:cs="Arial"/>
                <w:kern w:val="0"/>
                <w:sz w:val="22"/>
                <w:szCs w:val="22"/>
              </w:rPr>
              <w:t>金额单位：万元</w:t>
            </w:r>
          </w:p>
        </w:tc>
      </w:tr>
      <w:tr>
        <w:tblPrEx>
          <w:tblLayout w:type="fixed"/>
          <w:tblCellMar>
            <w:top w:w="0" w:type="dxa"/>
            <w:left w:w="108" w:type="dxa"/>
            <w:bottom w:w="0" w:type="dxa"/>
            <w:right w:w="108" w:type="dxa"/>
          </w:tblCellMar>
        </w:tblPrEx>
        <w:trPr>
          <w:trHeight w:val="300" w:hRule="atLeast"/>
        </w:trPr>
        <w:tc>
          <w:tcPr>
            <w:tcW w:w="7975" w:type="dxa"/>
            <w:gridSpan w:val="6"/>
            <w:tcBorders>
              <w:top w:val="nil"/>
              <w:left w:val="single" w:color="000000" w:sz="4" w:space="0"/>
              <w:bottom w:val="single" w:color="000000"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预算数</w:t>
            </w:r>
          </w:p>
        </w:tc>
        <w:tc>
          <w:tcPr>
            <w:tcW w:w="6782" w:type="dxa"/>
            <w:gridSpan w:val="6"/>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决算数</w:t>
            </w:r>
          </w:p>
        </w:tc>
      </w:tr>
      <w:tr>
        <w:tblPrEx>
          <w:tblLayout w:type="fixed"/>
          <w:tblCellMar>
            <w:top w:w="0" w:type="dxa"/>
            <w:left w:w="108" w:type="dxa"/>
            <w:bottom w:w="0" w:type="dxa"/>
            <w:right w:w="108" w:type="dxa"/>
          </w:tblCellMar>
        </w:tblPrEx>
        <w:trPr>
          <w:trHeight w:val="300" w:hRule="atLeast"/>
        </w:trPr>
        <w:tc>
          <w:tcPr>
            <w:tcW w:w="1420" w:type="dxa"/>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合计</w:t>
            </w:r>
          </w:p>
        </w:tc>
        <w:tc>
          <w:tcPr>
            <w:tcW w:w="142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因公出国（境）费</w:t>
            </w:r>
          </w:p>
        </w:tc>
        <w:tc>
          <w:tcPr>
            <w:tcW w:w="3856" w:type="dxa"/>
            <w:gridSpan w:val="3"/>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公务用车购置及运行费</w:t>
            </w:r>
          </w:p>
        </w:tc>
        <w:tc>
          <w:tcPr>
            <w:tcW w:w="1279"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公务接待费</w:t>
            </w:r>
          </w:p>
        </w:tc>
        <w:tc>
          <w:tcPr>
            <w:tcW w:w="1016"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合计</w:t>
            </w:r>
          </w:p>
        </w:tc>
        <w:tc>
          <w:tcPr>
            <w:tcW w:w="1134"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因公出国（境）费</w:t>
            </w:r>
          </w:p>
        </w:tc>
        <w:tc>
          <w:tcPr>
            <w:tcW w:w="3380" w:type="dxa"/>
            <w:gridSpan w:val="3"/>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公务用车购置及运行费</w:t>
            </w:r>
          </w:p>
        </w:tc>
        <w:tc>
          <w:tcPr>
            <w:tcW w:w="1252"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公务接待费</w:t>
            </w:r>
          </w:p>
        </w:tc>
      </w:tr>
      <w:tr>
        <w:tblPrEx>
          <w:tblLayout w:type="fixed"/>
        </w:tblPrEx>
        <w:trPr>
          <w:trHeight w:val="600" w:hRule="atLeast"/>
        </w:trPr>
        <w:tc>
          <w:tcPr>
            <w:tcW w:w="1420" w:type="dxa"/>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1420"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42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小计</w:t>
            </w:r>
          </w:p>
        </w:tc>
        <w:tc>
          <w:tcPr>
            <w:tcW w:w="10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公务用车购置费</w:t>
            </w:r>
          </w:p>
        </w:tc>
        <w:tc>
          <w:tcPr>
            <w:tcW w:w="142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公务用车运行费</w:t>
            </w:r>
          </w:p>
        </w:tc>
        <w:tc>
          <w:tcPr>
            <w:tcW w:w="1279"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016"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0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小计</w:t>
            </w:r>
          </w:p>
        </w:tc>
        <w:tc>
          <w:tcPr>
            <w:tcW w:w="944"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公务用车购置费</w:t>
            </w:r>
          </w:p>
        </w:tc>
        <w:tc>
          <w:tcPr>
            <w:tcW w:w="142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公务用车运行费</w:t>
            </w:r>
          </w:p>
        </w:tc>
        <w:tc>
          <w:tcPr>
            <w:tcW w:w="1252" w:type="dxa"/>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1420" w:type="dxa"/>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w:t>
            </w:r>
          </w:p>
        </w:tc>
        <w:tc>
          <w:tcPr>
            <w:tcW w:w="142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w:t>
            </w:r>
          </w:p>
        </w:tc>
        <w:tc>
          <w:tcPr>
            <w:tcW w:w="142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w:t>
            </w:r>
          </w:p>
        </w:tc>
        <w:tc>
          <w:tcPr>
            <w:tcW w:w="10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4</w:t>
            </w:r>
          </w:p>
        </w:tc>
        <w:tc>
          <w:tcPr>
            <w:tcW w:w="142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5</w:t>
            </w:r>
          </w:p>
        </w:tc>
        <w:tc>
          <w:tcPr>
            <w:tcW w:w="1279"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6</w:t>
            </w:r>
          </w:p>
        </w:tc>
        <w:tc>
          <w:tcPr>
            <w:tcW w:w="10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7</w:t>
            </w:r>
          </w:p>
        </w:tc>
        <w:tc>
          <w:tcPr>
            <w:tcW w:w="1134"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8</w:t>
            </w:r>
          </w:p>
        </w:tc>
        <w:tc>
          <w:tcPr>
            <w:tcW w:w="1016"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9</w:t>
            </w:r>
          </w:p>
        </w:tc>
        <w:tc>
          <w:tcPr>
            <w:tcW w:w="944"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10</w:t>
            </w:r>
          </w:p>
        </w:tc>
        <w:tc>
          <w:tcPr>
            <w:tcW w:w="1420"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11</w:t>
            </w:r>
          </w:p>
        </w:tc>
        <w:tc>
          <w:tcPr>
            <w:tcW w:w="1252" w:type="dxa"/>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12</w:t>
            </w:r>
          </w:p>
        </w:tc>
      </w:tr>
      <w:tr>
        <w:tblPrEx>
          <w:tblLayout w:type="fixed"/>
          <w:tblCellMar>
            <w:top w:w="0" w:type="dxa"/>
            <w:left w:w="108" w:type="dxa"/>
            <w:bottom w:w="0" w:type="dxa"/>
            <w:right w:w="108" w:type="dxa"/>
          </w:tblCellMar>
        </w:tblPrEx>
        <w:trPr>
          <w:trHeight w:val="300" w:hRule="atLeast"/>
        </w:trPr>
        <w:tc>
          <w:tcPr>
            <w:tcW w:w="1420" w:type="dxa"/>
            <w:tcBorders>
              <w:top w:val="nil"/>
              <w:left w:val="single" w:color="000000" w:sz="4" w:space="0"/>
              <w:bottom w:val="single" w:color="000000" w:sz="4" w:space="0"/>
              <w:right w:val="single" w:color="000000" w:sz="4" w:space="0"/>
            </w:tcBorders>
            <w:shd w:val="clear" w:color="000000" w:fill="00FF00"/>
            <w:vAlign w:val="center"/>
          </w:tcPr>
          <w:p>
            <w:pPr>
              <w:jc w:val="right"/>
              <w:rPr>
                <w:rFonts w:ascii="宋体" w:hAnsi="宋体" w:cs="Arial"/>
                <w:kern w:val="0"/>
                <w:sz w:val="20"/>
                <w:szCs w:val="20"/>
              </w:rPr>
            </w:pPr>
            <w:r>
              <w:rPr>
                <w:rFonts w:ascii="宋体" w:hAnsi="宋体" w:cs="Arial"/>
                <w:kern w:val="0"/>
                <w:sz w:val="20"/>
                <w:szCs w:val="20"/>
              </w:rPr>
              <w:t>59.5</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420" w:type="dxa"/>
            <w:tcBorders>
              <w:top w:val="nil"/>
              <w:left w:val="nil"/>
              <w:bottom w:val="single" w:color="000000" w:sz="4" w:space="0"/>
              <w:right w:val="single" w:color="000000" w:sz="4" w:space="0"/>
            </w:tcBorders>
            <w:shd w:val="clear" w:color="000000" w:fill="00FF00"/>
            <w:vAlign w:val="center"/>
          </w:tcPr>
          <w:p>
            <w:pPr>
              <w:jc w:val="right"/>
              <w:rPr>
                <w:rFonts w:ascii="宋体" w:hAnsi="宋体" w:cs="Arial"/>
                <w:kern w:val="0"/>
                <w:sz w:val="20"/>
                <w:szCs w:val="20"/>
              </w:rPr>
            </w:pPr>
            <w:r>
              <w:rPr>
                <w:rFonts w:ascii="宋体" w:hAnsi="宋体" w:cs="Arial"/>
                <w:kern w:val="0"/>
                <w:sz w:val="20"/>
                <w:szCs w:val="20"/>
              </w:rPr>
              <w:t>49.5</w:t>
            </w:r>
          </w:p>
        </w:tc>
        <w:tc>
          <w:tcPr>
            <w:tcW w:w="10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49.5</w:t>
            </w:r>
          </w:p>
        </w:tc>
        <w:tc>
          <w:tcPr>
            <w:tcW w:w="1279"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10</w:t>
            </w:r>
          </w:p>
        </w:tc>
        <w:tc>
          <w:tcPr>
            <w:tcW w:w="10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54.79</w:t>
            </w:r>
          </w:p>
        </w:tc>
        <w:tc>
          <w:tcPr>
            <w:tcW w:w="113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0.00</w:t>
            </w:r>
          </w:p>
        </w:tc>
        <w:tc>
          <w:tcPr>
            <w:tcW w:w="1016"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34.96</w:t>
            </w:r>
          </w:p>
        </w:tc>
        <w:tc>
          <w:tcPr>
            <w:tcW w:w="944"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0</w:t>
            </w:r>
          </w:p>
        </w:tc>
        <w:tc>
          <w:tcPr>
            <w:tcW w:w="1420"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34.96</w:t>
            </w:r>
          </w:p>
        </w:tc>
        <w:tc>
          <w:tcPr>
            <w:tcW w:w="1252" w:type="dxa"/>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ascii="宋体" w:hAnsi="宋体" w:cs="Arial"/>
                <w:kern w:val="0"/>
                <w:sz w:val="20"/>
                <w:szCs w:val="20"/>
              </w:rPr>
              <w:t>19.83</w:t>
            </w:r>
          </w:p>
        </w:tc>
      </w:tr>
      <w:tr>
        <w:tblPrEx>
          <w:tblLayout w:type="fixed"/>
          <w:tblCellMar>
            <w:top w:w="0" w:type="dxa"/>
            <w:left w:w="108" w:type="dxa"/>
            <w:bottom w:w="0" w:type="dxa"/>
            <w:right w:w="108" w:type="dxa"/>
          </w:tblCellMar>
        </w:tblPrEx>
        <w:trPr>
          <w:trHeight w:val="600" w:hRule="atLeast"/>
        </w:trPr>
        <w:tc>
          <w:tcPr>
            <w:tcW w:w="14757" w:type="dxa"/>
            <w:gridSpan w:val="12"/>
            <w:tcBorders>
              <w:top w:val="nil"/>
              <w:left w:val="nil"/>
              <w:bottom w:val="nil"/>
              <w:right w:val="nil"/>
            </w:tcBorders>
            <w:shd w:val="clear" w:color="000000" w:fill="FFFFFF"/>
            <w:vAlign w:val="center"/>
          </w:tcPr>
          <w:p>
            <w:pPr>
              <w:jc w:val="left"/>
              <w:rPr>
                <w:rFonts w:ascii="宋体" w:hAnsi="宋体" w:cs="Arial"/>
                <w:kern w:val="0"/>
                <w:sz w:val="20"/>
                <w:szCs w:val="20"/>
              </w:rPr>
            </w:pPr>
            <w:r>
              <w:rPr>
                <w:rFonts w:hint="eastAsia" w:ascii="宋体" w:hAnsi="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numPr>
          <w:ilvl w:val="0"/>
          <w:numId w:val="1"/>
        </w:numPr>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3"/>
        <w:spacing w:before="0" w:beforeAutospacing="0"/>
        <w:ind w:firstLine="480" w:firstLineChars="150"/>
        <w:outlineLvl w:val="1"/>
        <w:rPr>
          <w:rStyle w:val="15"/>
          <w:rFonts w:ascii="楷体_GB2312" w:eastAsia="楷体_GB2312"/>
          <w:b w:val="0"/>
          <w:sz w:val="32"/>
          <w:szCs w:val="32"/>
        </w:rPr>
      </w:pPr>
      <w:bookmarkStart w:id="13" w:name="_Toc16750"/>
      <w:r>
        <w:rPr>
          <w:rStyle w:val="15"/>
          <w:rFonts w:hint="eastAsia" w:ascii="楷体_GB2312" w:eastAsia="楷体_GB2312"/>
          <w:b w:val="0"/>
          <w:sz w:val="32"/>
          <w:szCs w:val="32"/>
        </w:rPr>
        <w:t>八、政府性基金预算财政拨款收入支出决算表</w:t>
      </w:r>
      <w:bookmarkEnd w:id="13"/>
    </w:p>
    <w:tbl>
      <w:tblPr>
        <w:tblStyle w:val="19"/>
        <w:tblW w:w="0" w:type="auto"/>
        <w:tblInd w:w="0" w:type="dxa"/>
        <w:tblLayout w:type="fixed"/>
        <w:tblCellMar>
          <w:top w:w="0" w:type="dxa"/>
          <w:left w:w="0" w:type="dxa"/>
          <w:bottom w:w="0" w:type="dxa"/>
          <w:right w:w="0" w:type="dxa"/>
        </w:tblCellMar>
      </w:tblPr>
      <w:tblGrid>
        <w:gridCol w:w="2480"/>
        <w:gridCol w:w="47"/>
        <w:gridCol w:w="47"/>
        <w:gridCol w:w="848"/>
        <w:gridCol w:w="1219"/>
        <w:gridCol w:w="648"/>
        <w:gridCol w:w="448"/>
        <w:gridCol w:w="648"/>
        <w:gridCol w:w="675"/>
        <w:gridCol w:w="1276"/>
      </w:tblGrid>
      <w:tr>
        <w:tblPrEx>
          <w:tblLayout w:type="fixed"/>
          <w:tblCellMar>
            <w:top w:w="0" w:type="dxa"/>
            <w:left w:w="0" w:type="dxa"/>
            <w:bottom w:w="0" w:type="dxa"/>
            <w:right w:w="0" w:type="dxa"/>
          </w:tblCellMar>
        </w:tblPrEx>
        <w:trPr>
          <w:trHeight w:val="300" w:hRule="atLeast"/>
        </w:trPr>
        <w:tc>
          <w:tcPr>
            <w:tcW w:w="2480"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47"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47"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848"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219"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648"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448"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648"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675" w:type="dxa"/>
            <w:tcBorders>
              <w:top w:val="nil"/>
              <w:left w:val="nil"/>
              <w:bottom w:val="nil"/>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276" w:type="dxa"/>
            <w:tcBorders>
              <w:top w:val="nil"/>
              <w:left w:val="nil"/>
              <w:bottom w:val="nil"/>
            </w:tcBorders>
            <w:shd w:val="clear" w:color="auto" w:fill="FFFFFF"/>
            <w:tcMar>
              <w:top w:w="15" w:type="dxa"/>
              <w:left w:w="15" w:type="dxa"/>
              <w:right w:w="15" w:type="dxa"/>
            </w:tcMar>
            <w:vAlign w:val="center"/>
          </w:tcPr>
          <w:p>
            <w:pPr>
              <w:jc w:val="right"/>
              <w:textAlignment w:val="center"/>
              <w:rPr>
                <w:rFonts w:ascii="宋体" w:hAnsi="宋体"/>
                <w:color w:val="000000"/>
                <w:kern w:val="0"/>
                <w:sz w:val="22"/>
                <w:szCs w:val="22"/>
              </w:rPr>
            </w:pPr>
            <w:r>
              <w:rPr>
                <w:rFonts w:hint="eastAsia" w:ascii="宋体" w:hAnsi="宋体"/>
                <w:color w:val="000000"/>
                <w:kern w:val="0"/>
                <w:sz w:val="22"/>
                <w:szCs w:val="22"/>
              </w:rPr>
              <w:t>公开</w:t>
            </w:r>
            <w:r>
              <w:rPr>
                <w:rFonts w:ascii="宋体" w:hAnsi="宋体"/>
                <w:color w:val="000000"/>
                <w:kern w:val="0"/>
                <w:sz w:val="22"/>
                <w:szCs w:val="22"/>
              </w:rPr>
              <w:t>08</w:t>
            </w:r>
            <w:r>
              <w:rPr>
                <w:rFonts w:hint="eastAsia" w:ascii="宋体" w:hAnsi="宋体"/>
                <w:color w:val="000000"/>
                <w:kern w:val="0"/>
                <w:sz w:val="22"/>
                <w:szCs w:val="22"/>
              </w:rPr>
              <w:t>表</w:t>
            </w:r>
          </w:p>
        </w:tc>
      </w:tr>
      <w:tr>
        <w:tblPrEx>
          <w:tblLayout w:type="fixed"/>
          <w:tblCellMar>
            <w:top w:w="0" w:type="dxa"/>
            <w:left w:w="0" w:type="dxa"/>
            <w:bottom w:w="0" w:type="dxa"/>
            <w:right w:w="0" w:type="dxa"/>
          </w:tblCellMar>
        </w:tblPrEx>
        <w:trPr>
          <w:trHeight w:val="300" w:hRule="atLeast"/>
        </w:trPr>
        <w:tc>
          <w:tcPr>
            <w:tcW w:w="2480" w:type="dxa"/>
            <w:tcBorders>
              <w:top w:val="nil"/>
              <w:left w:val="nil"/>
              <w:bottom w:val="single" w:color="808080" w:sz="4" w:space="0"/>
              <w:right w:val="nil"/>
            </w:tcBorders>
            <w:shd w:val="clear" w:color="auto" w:fill="FFFFFF"/>
            <w:tcMar>
              <w:top w:w="15" w:type="dxa"/>
              <w:left w:w="15" w:type="dxa"/>
              <w:right w:w="15" w:type="dxa"/>
            </w:tcMar>
            <w:vAlign w:val="center"/>
          </w:tcPr>
          <w:p>
            <w:pPr>
              <w:jc w:val="left"/>
              <w:textAlignment w:val="center"/>
              <w:rPr>
                <w:rFonts w:ascii="宋体" w:hAnsi="宋体"/>
                <w:color w:val="000000"/>
                <w:kern w:val="0"/>
                <w:sz w:val="22"/>
                <w:szCs w:val="22"/>
              </w:rPr>
            </w:pPr>
            <w:r>
              <w:rPr>
                <w:rFonts w:hint="eastAsia" w:ascii="宋体" w:hAnsi="宋体"/>
                <w:color w:val="000000"/>
                <w:kern w:val="0"/>
                <w:sz w:val="22"/>
                <w:szCs w:val="22"/>
              </w:rPr>
              <w:t>部门：</w:t>
            </w:r>
            <w:r>
              <w:rPr>
                <w:rFonts w:hint="eastAsia" w:ascii="宋体" w:hAnsi="宋体" w:cs="Arial"/>
                <w:color w:val="000000"/>
                <w:kern w:val="0"/>
                <w:sz w:val="22"/>
                <w:szCs w:val="22"/>
              </w:rPr>
              <w:t>涟源市人民检察院</w:t>
            </w:r>
          </w:p>
        </w:tc>
        <w:tc>
          <w:tcPr>
            <w:tcW w:w="47"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47"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84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219"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textAlignment w:val="center"/>
              <w:rPr>
                <w:rFonts w:ascii="宋体" w:hAnsi="宋体"/>
                <w:color w:val="000000"/>
                <w:kern w:val="0"/>
                <w:sz w:val="22"/>
                <w:szCs w:val="22"/>
              </w:rPr>
            </w:pPr>
            <w:r>
              <w:rPr>
                <w:rFonts w:ascii="宋体" w:hAnsi="宋体"/>
                <w:color w:val="000000"/>
                <w:kern w:val="0"/>
                <w:sz w:val="22"/>
                <w:szCs w:val="22"/>
              </w:rPr>
              <w:t>2020</w:t>
            </w:r>
            <w:r>
              <w:rPr>
                <w:rFonts w:hint="eastAsia" w:ascii="宋体" w:hAnsi="宋体"/>
                <w:color w:val="000000"/>
                <w:kern w:val="0"/>
                <w:sz w:val="22"/>
                <w:szCs w:val="22"/>
              </w:rPr>
              <w:t>年度</w:t>
            </w:r>
          </w:p>
        </w:tc>
        <w:tc>
          <w:tcPr>
            <w:tcW w:w="64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448" w:type="dxa"/>
            <w:tcBorders>
              <w:top w:val="nil"/>
              <w:left w:val="nil"/>
              <w:bottom w:val="single" w:color="auto" w:sz="4" w:space="0"/>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648" w:type="dxa"/>
            <w:tcBorders>
              <w:top w:val="nil"/>
              <w:left w:val="nil"/>
              <w:bottom w:val="single" w:color="auto" w:sz="4" w:space="0"/>
              <w:right w:val="nil"/>
            </w:tcBorders>
            <w:shd w:val="clear" w:color="auto" w:fill="FFFFFF"/>
            <w:tcMar>
              <w:top w:w="15" w:type="dxa"/>
              <w:left w:w="15" w:type="dxa"/>
              <w:right w:w="15" w:type="dxa"/>
            </w:tcMar>
            <w:vAlign w:val="center"/>
          </w:tcPr>
          <w:p>
            <w:pPr>
              <w:jc w:val="left"/>
              <w:rPr>
                <w:rFonts w:ascii="宋体" w:hAnsi="宋体"/>
                <w:color w:val="000000"/>
                <w:kern w:val="0"/>
                <w:sz w:val="18"/>
                <w:szCs w:val="18"/>
              </w:rPr>
            </w:pPr>
          </w:p>
        </w:tc>
        <w:tc>
          <w:tcPr>
            <w:tcW w:w="1951" w:type="dxa"/>
            <w:gridSpan w:val="2"/>
            <w:tcBorders>
              <w:top w:val="nil"/>
              <w:left w:val="nil"/>
              <w:bottom w:val="single" w:color="auto" w:sz="4" w:space="0"/>
            </w:tcBorders>
            <w:shd w:val="clear" w:color="auto" w:fill="FFFFFF"/>
            <w:tcMar>
              <w:top w:w="15" w:type="dxa"/>
              <w:left w:w="15" w:type="dxa"/>
              <w:right w:w="15" w:type="dxa"/>
            </w:tcMar>
            <w:vAlign w:val="center"/>
          </w:tcPr>
          <w:p>
            <w:pPr>
              <w:jc w:val="right"/>
              <w:textAlignment w:val="center"/>
              <w:rPr>
                <w:rFonts w:ascii="宋体" w:hAnsi="宋体"/>
                <w:color w:val="000000"/>
                <w:kern w:val="0"/>
                <w:sz w:val="22"/>
                <w:szCs w:val="22"/>
              </w:rPr>
            </w:pPr>
            <w:r>
              <w:rPr>
                <w:rFonts w:hint="eastAsia" w:ascii="宋体" w:hAnsi="宋体"/>
                <w:color w:val="000000"/>
                <w:kern w:val="0"/>
                <w:sz w:val="22"/>
                <w:szCs w:val="22"/>
              </w:rPr>
              <w:t>金额单位：万元</w:t>
            </w:r>
          </w:p>
        </w:tc>
      </w:tr>
      <w:tr>
        <w:tblPrEx>
          <w:tblLayout w:type="fixed"/>
          <w:tblCellMar>
            <w:top w:w="0" w:type="dxa"/>
            <w:left w:w="0" w:type="dxa"/>
            <w:bottom w:w="0" w:type="dxa"/>
            <w:right w:w="0" w:type="dxa"/>
          </w:tblCellMar>
        </w:tblPrEx>
        <w:trPr>
          <w:trHeight w:val="300" w:hRule="atLeast"/>
        </w:trPr>
        <w:tc>
          <w:tcPr>
            <w:tcW w:w="342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textAlignment w:val="center"/>
              <w:rPr>
                <w:rFonts w:ascii="宋体" w:hAnsi="宋体"/>
                <w:color w:val="000000"/>
                <w:kern w:val="0"/>
                <w:sz w:val="20"/>
                <w:szCs w:val="20"/>
              </w:rPr>
            </w:pPr>
            <w:r>
              <w:rPr>
                <w:rFonts w:hint="eastAsia" w:ascii="宋体" w:hAnsi="宋体"/>
                <w:color w:val="000000"/>
                <w:kern w:val="0"/>
                <w:sz w:val="20"/>
                <w:szCs w:val="20"/>
              </w:rPr>
              <w:t>项目</w:t>
            </w:r>
          </w:p>
        </w:tc>
        <w:tc>
          <w:tcPr>
            <w:tcW w:w="12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年初结转和结余</w:t>
            </w:r>
          </w:p>
        </w:tc>
        <w:tc>
          <w:tcPr>
            <w:tcW w:w="648" w:type="dxa"/>
            <w:vMerge w:val="restart"/>
            <w:tcBorders>
              <w:top w:val="nil"/>
              <w:left w:val="nil"/>
              <w:bottom w:val="single" w:color="000000"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本年收入</w:t>
            </w:r>
          </w:p>
        </w:tc>
        <w:tc>
          <w:tcPr>
            <w:tcW w:w="1771" w:type="dxa"/>
            <w:gridSpan w:val="3"/>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本年支出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年末结转和结余</w:t>
            </w:r>
          </w:p>
        </w:tc>
      </w:tr>
      <w:tr>
        <w:tblPrEx>
          <w:tblLayout w:type="fixed"/>
          <w:tblCellMar>
            <w:top w:w="0" w:type="dxa"/>
            <w:left w:w="0" w:type="dxa"/>
            <w:bottom w:w="0" w:type="dxa"/>
            <w:right w:w="0" w:type="dxa"/>
          </w:tblCellMar>
        </w:tblPrEx>
        <w:trPr>
          <w:trHeight w:val="300" w:hRule="atLeast"/>
        </w:trPr>
        <w:tc>
          <w:tcPr>
            <w:tcW w:w="2574"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功能分类科目编码</w:t>
            </w:r>
          </w:p>
        </w:tc>
        <w:tc>
          <w:tcPr>
            <w:tcW w:w="8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科目名称</w:t>
            </w:r>
          </w:p>
        </w:tc>
        <w:tc>
          <w:tcPr>
            <w:tcW w:w="12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4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小计</w:t>
            </w:r>
          </w:p>
        </w:tc>
        <w:tc>
          <w:tcPr>
            <w:tcW w:w="6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基本支出</w:t>
            </w:r>
          </w:p>
        </w:tc>
        <w:tc>
          <w:tcPr>
            <w:tcW w:w="6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项目支出</w:t>
            </w:r>
          </w:p>
        </w:tc>
        <w:tc>
          <w:tcPr>
            <w:tcW w:w="12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r>
      <w:tr>
        <w:tblPrEx>
          <w:tblLayout w:type="fixed"/>
          <w:tblCellMar>
            <w:top w:w="0" w:type="dxa"/>
            <w:left w:w="0" w:type="dxa"/>
            <w:bottom w:w="0" w:type="dxa"/>
            <w:right w:w="0" w:type="dxa"/>
          </w:tblCellMar>
        </w:tblPrEx>
        <w:trPr>
          <w:trHeight w:val="300" w:hRule="atLeast"/>
        </w:trPr>
        <w:tc>
          <w:tcPr>
            <w:tcW w:w="257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8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12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4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6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12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r>
      <w:tr>
        <w:tblPrEx>
          <w:tblLayout w:type="fixed"/>
          <w:tblCellMar>
            <w:top w:w="0" w:type="dxa"/>
            <w:left w:w="0" w:type="dxa"/>
            <w:bottom w:w="0" w:type="dxa"/>
            <w:right w:w="0" w:type="dxa"/>
          </w:tblCellMar>
        </w:tblPrEx>
        <w:trPr>
          <w:trHeight w:val="300" w:hRule="atLeast"/>
        </w:trPr>
        <w:tc>
          <w:tcPr>
            <w:tcW w:w="257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8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12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4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6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6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c>
          <w:tcPr>
            <w:tcW w:w="12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宋体" w:hAnsi="宋体"/>
                <w:color w:val="000000"/>
                <w:kern w:val="0"/>
                <w:sz w:val="20"/>
                <w:szCs w:val="20"/>
              </w:rPr>
            </w:pPr>
          </w:p>
        </w:tc>
      </w:tr>
      <w:tr>
        <w:tblPrEx>
          <w:tblLayout w:type="fixed"/>
          <w:tblCellMar>
            <w:top w:w="0" w:type="dxa"/>
            <w:left w:w="0" w:type="dxa"/>
            <w:bottom w:w="0" w:type="dxa"/>
            <w:right w:w="0" w:type="dxa"/>
          </w:tblCellMar>
        </w:tblPrEx>
        <w:trPr>
          <w:trHeight w:val="300" w:hRule="atLeast"/>
        </w:trPr>
        <w:tc>
          <w:tcPr>
            <w:tcW w:w="342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hint="eastAsia" w:ascii="宋体" w:hAnsi="宋体"/>
                <w:color w:val="000000"/>
                <w:kern w:val="0"/>
                <w:sz w:val="20"/>
                <w:szCs w:val="20"/>
              </w:rPr>
              <w:t>栏次</w:t>
            </w:r>
          </w:p>
        </w:tc>
        <w:tc>
          <w:tcPr>
            <w:tcW w:w="12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1</w:t>
            </w:r>
          </w:p>
        </w:tc>
        <w:tc>
          <w:tcPr>
            <w:tcW w:w="6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2</w:t>
            </w:r>
          </w:p>
        </w:tc>
        <w:tc>
          <w:tcPr>
            <w:tcW w:w="4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3</w:t>
            </w:r>
          </w:p>
        </w:tc>
        <w:tc>
          <w:tcPr>
            <w:tcW w:w="6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4</w:t>
            </w:r>
          </w:p>
        </w:tc>
        <w:tc>
          <w:tcPr>
            <w:tcW w:w="6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5</w:t>
            </w:r>
          </w:p>
        </w:tc>
        <w:tc>
          <w:tcPr>
            <w:tcW w:w="12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ascii="宋体" w:hAnsi="宋体"/>
                <w:color w:val="000000"/>
                <w:kern w:val="0"/>
                <w:sz w:val="20"/>
                <w:szCs w:val="20"/>
              </w:rPr>
            </w:pPr>
            <w:r>
              <w:rPr>
                <w:rFonts w:ascii="宋体" w:hAnsi="宋体"/>
                <w:color w:val="000000"/>
                <w:kern w:val="0"/>
                <w:sz w:val="20"/>
                <w:szCs w:val="20"/>
              </w:rPr>
              <w:t>6</w:t>
            </w:r>
          </w:p>
        </w:tc>
      </w:tr>
      <w:tr>
        <w:tblPrEx>
          <w:tblLayout w:type="fixed"/>
          <w:tblCellMar>
            <w:top w:w="0" w:type="dxa"/>
            <w:left w:w="0" w:type="dxa"/>
            <w:bottom w:w="0" w:type="dxa"/>
            <w:right w:w="0" w:type="dxa"/>
          </w:tblCellMar>
        </w:tblPrEx>
        <w:trPr>
          <w:trHeight w:val="300" w:hRule="atLeast"/>
        </w:trPr>
        <w:tc>
          <w:tcPr>
            <w:tcW w:w="342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textAlignment w:val="center"/>
              <w:rPr>
                <w:rFonts w:ascii="宋体" w:hAnsi="宋体"/>
                <w:color w:val="000000"/>
                <w:kern w:val="0"/>
                <w:sz w:val="20"/>
                <w:szCs w:val="20"/>
              </w:rPr>
            </w:pPr>
            <w:r>
              <w:rPr>
                <w:rFonts w:hint="eastAsia" w:ascii="宋体" w:hAnsi="宋体"/>
                <w:color w:val="000000"/>
                <w:kern w:val="0"/>
                <w:sz w:val="20"/>
                <w:szCs w:val="20"/>
              </w:rPr>
              <w:t>合计</w:t>
            </w:r>
          </w:p>
        </w:tc>
        <w:tc>
          <w:tcPr>
            <w:tcW w:w="12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ascii="宋体" w:hAnsi="宋体"/>
                <w:b/>
                <w:color w:val="000000"/>
                <w:kern w:val="0"/>
                <w:sz w:val="20"/>
                <w:szCs w:val="20"/>
              </w:rPr>
            </w:pPr>
            <w:r>
              <w:rPr>
                <w:rFonts w:ascii="宋体" w:hAnsi="宋体"/>
                <w:b/>
                <w:color w:val="000000"/>
                <w:kern w:val="0"/>
                <w:sz w:val="20"/>
                <w:szCs w:val="20"/>
              </w:rPr>
              <w:t>0.00</w:t>
            </w: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ascii="宋体" w:hAnsi="宋体"/>
                <w:b/>
                <w:color w:val="000000"/>
                <w:kern w:val="0"/>
                <w:sz w:val="20"/>
                <w:szCs w:val="20"/>
              </w:rPr>
            </w:pPr>
            <w:r>
              <w:rPr>
                <w:rFonts w:ascii="宋体" w:hAnsi="宋体"/>
                <w:b/>
                <w:color w:val="000000"/>
                <w:kern w:val="0"/>
                <w:sz w:val="20"/>
                <w:szCs w:val="20"/>
              </w:rPr>
              <w:t>0.00</w:t>
            </w:r>
          </w:p>
        </w:tc>
        <w:tc>
          <w:tcPr>
            <w:tcW w:w="4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ascii="宋体" w:hAnsi="宋体"/>
                <w:b/>
                <w:color w:val="000000"/>
                <w:kern w:val="0"/>
                <w:sz w:val="20"/>
                <w:szCs w:val="20"/>
              </w:rPr>
            </w:pPr>
            <w:r>
              <w:rPr>
                <w:rFonts w:ascii="宋体" w:hAnsi="宋体"/>
                <w:b/>
                <w:color w:val="000000"/>
                <w:kern w:val="0"/>
                <w:sz w:val="20"/>
                <w:szCs w:val="20"/>
              </w:rPr>
              <w:t>0.00</w:t>
            </w: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ascii="宋体" w:hAnsi="宋体"/>
                <w:b/>
                <w:color w:val="000000"/>
                <w:kern w:val="0"/>
                <w:sz w:val="20"/>
                <w:szCs w:val="20"/>
              </w:rPr>
            </w:pPr>
            <w:r>
              <w:rPr>
                <w:rFonts w:ascii="宋体" w:hAnsi="宋体"/>
                <w:b/>
                <w:color w:val="000000"/>
                <w:kern w:val="0"/>
                <w:sz w:val="20"/>
                <w:szCs w:val="20"/>
              </w:rPr>
              <w:t>0.00</w:t>
            </w: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ascii="宋体" w:hAnsi="宋体"/>
                <w:b/>
                <w:color w:val="000000"/>
                <w:kern w:val="0"/>
                <w:sz w:val="20"/>
                <w:szCs w:val="20"/>
              </w:rPr>
            </w:pPr>
            <w:r>
              <w:rPr>
                <w:rFonts w:ascii="宋体" w:hAnsi="宋体"/>
                <w:b/>
                <w:color w:val="000000"/>
                <w:kern w:val="0"/>
                <w:sz w:val="20"/>
                <w:szCs w:val="20"/>
              </w:rPr>
              <w:t>0.00</w:t>
            </w:r>
          </w:p>
        </w:tc>
        <w:tc>
          <w:tcPr>
            <w:tcW w:w="12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textAlignment w:val="center"/>
              <w:rPr>
                <w:rFonts w:ascii="宋体" w:hAnsi="宋体"/>
                <w:b/>
                <w:color w:val="000000"/>
                <w:kern w:val="0"/>
                <w:sz w:val="20"/>
                <w:szCs w:val="20"/>
              </w:rPr>
            </w:pPr>
            <w:r>
              <w:rPr>
                <w:rFonts w:ascii="宋体" w:hAnsi="宋体"/>
                <w:b/>
                <w:color w:val="000000"/>
                <w:kern w:val="0"/>
                <w:sz w:val="20"/>
                <w:szCs w:val="20"/>
              </w:rPr>
              <w:t>0.00</w:t>
            </w:r>
          </w:p>
        </w:tc>
      </w:tr>
      <w:tr>
        <w:tblPrEx>
          <w:tblLayout w:type="fixed"/>
          <w:tblCellMar>
            <w:top w:w="0" w:type="dxa"/>
            <w:left w:w="0" w:type="dxa"/>
            <w:bottom w:w="0" w:type="dxa"/>
            <w:right w:w="0" w:type="dxa"/>
          </w:tblCellMar>
        </w:tblPrEx>
        <w:trPr>
          <w:trHeight w:val="300" w:hRule="atLeast"/>
        </w:trPr>
        <w:tc>
          <w:tcPr>
            <w:tcW w:w="2574"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此表无数据</w:t>
            </w:r>
          </w:p>
        </w:tc>
        <w:tc>
          <w:tcPr>
            <w:tcW w:w="848"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jc w:val="left"/>
              <w:rPr>
                <w:rFonts w:ascii="宋体" w:hAnsi="宋体"/>
                <w:color w:val="000000"/>
                <w:kern w:val="0"/>
                <w:sz w:val="20"/>
                <w:szCs w:val="20"/>
              </w:rPr>
            </w:pPr>
          </w:p>
        </w:tc>
        <w:tc>
          <w:tcPr>
            <w:tcW w:w="12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olor w:val="000000"/>
                <w:kern w:val="0"/>
                <w:sz w:val="20"/>
                <w:szCs w:val="20"/>
              </w:rPr>
            </w:pP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olor w:val="000000"/>
                <w:kern w:val="0"/>
                <w:sz w:val="20"/>
                <w:szCs w:val="20"/>
              </w:rPr>
            </w:pPr>
          </w:p>
        </w:tc>
        <w:tc>
          <w:tcPr>
            <w:tcW w:w="4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olor w:val="000000"/>
                <w:kern w:val="0"/>
                <w:sz w:val="20"/>
                <w:szCs w:val="20"/>
              </w:rPr>
            </w:pPr>
          </w:p>
        </w:tc>
        <w:tc>
          <w:tcPr>
            <w:tcW w:w="64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olor w:val="000000"/>
                <w:kern w:val="0"/>
                <w:sz w:val="20"/>
                <w:szCs w:val="20"/>
              </w:rPr>
            </w:pPr>
          </w:p>
        </w:tc>
        <w:tc>
          <w:tcPr>
            <w:tcW w:w="67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olor w:val="000000"/>
                <w:kern w:val="0"/>
                <w:sz w:val="20"/>
                <w:szCs w:val="20"/>
              </w:rPr>
            </w:pPr>
          </w:p>
        </w:tc>
        <w:tc>
          <w:tcPr>
            <w:tcW w:w="127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olor w:val="000000"/>
                <w:kern w:val="0"/>
                <w:sz w:val="20"/>
                <w:szCs w:val="20"/>
              </w:rPr>
            </w:pPr>
          </w:p>
        </w:tc>
      </w:tr>
      <w:tr>
        <w:tblPrEx>
          <w:tblLayout w:type="fixed"/>
          <w:tblCellMar>
            <w:top w:w="0" w:type="dxa"/>
            <w:left w:w="0" w:type="dxa"/>
            <w:bottom w:w="0" w:type="dxa"/>
            <w:right w:w="0" w:type="dxa"/>
          </w:tblCellMar>
        </w:tblPrEx>
        <w:trPr>
          <w:trHeight w:val="300" w:hRule="atLeast"/>
        </w:trPr>
        <w:tc>
          <w:tcPr>
            <w:tcW w:w="8336" w:type="dxa"/>
            <w:gridSpan w:val="10"/>
            <w:tcBorders>
              <w:top w:val="nil"/>
              <w:left w:val="nil"/>
              <w:bottom w:val="nil"/>
              <w:right w:val="nil"/>
            </w:tcBorders>
            <w:shd w:val="clear" w:color="auto" w:fill="FFFFFF"/>
            <w:tcMar>
              <w:top w:w="15" w:type="dxa"/>
              <w:left w:w="15" w:type="dxa"/>
              <w:right w:w="15" w:type="dxa"/>
            </w:tcMar>
            <w:vAlign w:val="center"/>
          </w:tcPr>
          <w:p>
            <w:pPr>
              <w:pStyle w:val="13"/>
              <w:spacing w:before="0" w:beforeAutospacing="0"/>
              <w:ind w:firstLine="500" w:firstLineChars="250"/>
              <w:outlineLvl w:val="1"/>
              <w:rPr>
                <w:rFonts w:cs="楷体"/>
                <w:sz w:val="20"/>
                <w:szCs w:val="20"/>
                <w:shd w:val="clear" w:color="auto" w:fill="FFFFFF"/>
              </w:rPr>
            </w:pPr>
            <w:r>
              <w:rPr>
                <w:rFonts w:hint="eastAsia" w:cs="宋体"/>
                <w:color w:val="000000"/>
                <w:sz w:val="20"/>
                <w:szCs w:val="20"/>
              </w:rPr>
              <w:t>注：本表反映部门本年度政府性基金预算财政拨款收入、支出及结转和结余情况。</w:t>
            </w:r>
            <w:r>
              <w:rPr>
                <w:rFonts w:cs="楷体"/>
                <w:sz w:val="20"/>
                <w:szCs w:val="20"/>
                <w:shd w:val="clear" w:color="auto" w:fill="FFFFFF"/>
              </w:rPr>
              <w:t>2020</w:t>
            </w:r>
            <w:r>
              <w:rPr>
                <w:rFonts w:hint="eastAsia" w:cs="楷体"/>
                <w:sz w:val="20"/>
                <w:szCs w:val="20"/>
                <w:shd w:val="clear" w:color="auto" w:fill="FFFFFF"/>
              </w:rPr>
              <w:t>年度本部门无政府性基金收支，因此本表无数据。</w:t>
            </w:r>
          </w:p>
          <w:p>
            <w:pPr>
              <w:jc w:val="left"/>
              <w:textAlignment w:val="center"/>
              <w:rPr>
                <w:rFonts w:ascii="宋体" w:hAnsi="宋体"/>
                <w:color w:val="000000"/>
                <w:kern w:val="0"/>
                <w:sz w:val="20"/>
                <w:szCs w:val="20"/>
              </w:rPr>
            </w:pPr>
          </w:p>
        </w:tc>
      </w:tr>
    </w:tbl>
    <w:p>
      <w:pPr>
        <w:pStyle w:val="13"/>
        <w:spacing w:before="0" w:beforeAutospacing="0"/>
        <w:jc w:val="center"/>
        <w:rPr>
          <w:rStyle w:val="15"/>
          <w:rFonts w:ascii="楷体" w:hAnsi="楷体" w:eastAsia="楷体" w:cs="楷体"/>
          <w:sz w:val="32"/>
          <w:szCs w:val="32"/>
          <w:shd w:val="clear" w:color="auto" w:fill="FFFFFF"/>
        </w:rPr>
      </w:pPr>
    </w:p>
    <w:p>
      <w:pPr>
        <w:pStyle w:val="13"/>
        <w:spacing w:before="0" w:beforeAutospacing="0"/>
        <w:ind w:firstLine="480" w:firstLineChars="150"/>
        <w:outlineLvl w:val="1"/>
        <w:rPr>
          <w:rStyle w:val="15"/>
          <w:rFonts w:ascii="楷体_GB2312" w:eastAsia="楷体_GB2312"/>
          <w:b w:val="0"/>
          <w:sz w:val="32"/>
          <w:szCs w:val="32"/>
        </w:rPr>
      </w:pPr>
      <w:r>
        <w:rPr>
          <w:rStyle w:val="15"/>
          <w:rFonts w:hint="eastAsia" w:ascii="楷体_GB2312" w:eastAsia="楷体_GB2312"/>
          <w:b w:val="0"/>
          <w:sz w:val="32"/>
          <w:szCs w:val="32"/>
        </w:rPr>
        <w:t>九、国有资本经营预算财政拨款支出决算表</w:t>
      </w:r>
    </w:p>
    <w:tbl>
      <w:tblPr>
        <w:tblStyle w:val="19"/>
        <w:tblW w:w="8457" w:type="dxa"/>
        <w:tblInd w:w="93" w:type="dxa"/>
        <w:tblLayout w:type="fixed"/>
        <w:tblCellMar>
          <w:top w:w="0" w:type="dxa"/>
          <w:left w:w="108" w:type="dxa"/>
          <w:bottom w:w="0" w:type="dxa"/>
          <w:right w:w="108" w:type="dxa"/>
        </w:tblCellMar>
      </w:tblPr>
      <w:tblGrid>
        <w:gridCol w:w="817"/>
        <w:gridCol w:w="817"/>
        <w:gridCol w:w="236"/>
        <w:gridCol w:w="154"/>
        <w:gridCol w:w="1393"/>
        <w:gridCol w:w="154"/>
        <w:gridCol w:w="1526"/>
        <w:gridCol w:w="154"/>
        <w:gridCol w:w="1526"/>
        <w:gridCol w:w="154"/>
        <w:gridCol w:w="1448"/>
        <w:gridCol w:w="78"/>
      </w:tblGrid>
      <w:tr>
        <w:tblPrEx>
          <w:tblLayout w:type="fixed"/>
          <w:tblCellMar>
            <w:top w:w="0" w:type="dxa"/>
            <w:left w:w="108" w:type="dxa"/>
            <w:bottom w:w="0" w:type="dxa"/>
            <w:right w:w="108" w:type="dxa"/>
          </w:tblCellMar>
        </w:tblPrEx>
        <w:trPr>
          <w:gridAfter w:val="1"/>
          <w:wAfter w:w="78" w:type="dxa"/>
          <w:trHeight w:val="300" w:hRule="atLeast"/>
        </w:trPr>
        <w:tc>
          <w:tcPr>
            <w:tcW w:w="817"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817" w:type="dxa"/>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390"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547"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680"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680" w:type="dxa"/>
            <w:gridSpan w:val="2"/>
            <w:tcBorders>
              <w:top w:val="nil"/>
              <w:left w:val="nil"/>
              <w:bottom w:val="nil"/>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p>
        </w:tc>
        <w:tc>
          <w:tcPr>
            <w:tcW w:w="1448" w:type="dxa"/>
            <w:tcBorders>
              <w:top w:val="nil"/>
              <w:left w:val="nil"/>
              <w:bottom w:val="nil"/>
            </w:tcBorders>
            <w:shd w:val="clear" w:color="000000" w:fill="FFFFFF"/>
            <w:vAlign w:val="center"/>
          </w:tcPr>
          <w:p>
            <w:pPr>
              <w:jc w:val="right"/>
              <w:rPr>
                <w:rFonts w:ascii="宋体" w:hAnsi="宋体" w:cs="Arial"/>
                <w:color w:val="000000"/>
                <w:kern w:val="0"/>
                <w:sz w:val="22"/>
                <w:szCs w:val="22"/>
              </w:rPr>
            </w:pPr>
            <w:r>
              <w:rPr>
                <w:rFonts w:hint="eastAsia" w:ascii="宋体" w:hAnsi="宋体" w:cs="Arial"/>
                <w:color w:val="000000"/>
                <w:kern w:val="0"/>
                <w:sz w:val="22"/>
                <w:szCs w:val="22"/>
              </w:rPr>
              <w:t>公开</w:t>
            </w:r>
            <w:r>
              <w:rPr>
                <w:rFonts w:ascii="宋体" w:hAnsi="宋体" w:cs="Arial"/>
                <w:color w:val="000000"/>
                <w:kern w:val="0"/>
                <w:sz w:val="22"/>
                <w:szCs w:val="22"/>
              </w:rPr>
              <w:t>09</w:t>
            </w:r>
            <w:r>
              <w:rPr>
                <w:rFonts w:hint="eastAsia" w:ascii="宋体" w:hAnsi="宋体" w:cs="Arial"/>
                <w:color w:val="000000"/>
                <w:kern w:val="0"/>
                <w:sz w:val="22"/>
                <w:szCs w:val="22"/>
              </w:rPr>
              <w:t>表</w:t>
            </w:r>
          </w:p>
        </w:tc>
      </w:tr>
      <w:tr>
        <w:tblPrEx>
          <w:tblLayout w:type="fixed"/>
          <w:tblCellMar>
            <w:top w:w="0" w:type="dxa"/>
            <w:left w:w="108" w:type="dxa"/>
            <w:bottom w:w="0" w:type="dxa"/>
            <w:right w:w="108" w:type="dxa"/>
          </w:tblCellMar>
        </w:tblPrEx>
        <w:trPr>
          <w:trHeight w:val="300" w:hRule="atLeast"/>
        </w:trPr>
        <w:tc>
          <w:tcPr>
            <w:tcW w:w="3417" w:type="dxa"/>
            <w:gridSpan w:val="5"/>
            <w:tcBorders>
              <w:top w:val="nil"/>
              <w:left w:val="nil"/>
              <w:bottom w:val="single" w:color="808080" w:sz="4" w:space="0"/>
              <w:right w:val="nil"/>
            </w:tcBorders>
            <w:shd w:val="clear" w:color="000000" w:fill="FFFFFF"/>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部门：涟源市人民检察院</w:t>
            </w:r>
          </w:p>
        </w:tc>
        <w:tc>
          <w:tcPr>
            <w:tcW w:w="1680" w:type="dxa"/>
            <w:gridSpan w:val="2"/>
            <w:tcBorders>
              <w:top w:val="nil"/>
              <w:left w:val="nil"/>
              <w:bottom w:val="single" w:color="auto" w:sz="4" w:space="0"/>
              <w:right w:val="nil"/>
            </w:tcBorders>
            <w:shd w:val="clear" w:color="000000" w:fill="FFFFFF"/>
            <w:vAlign w:val="center"/>
          </w:tcPr>
          <w:p>
            <w:pPr>
              <w:jc w:val="left"/>
              <w:rPr>
                <w:rFonts w:ascii="宋体" w:hAnsi="宋体" w:cs="Arial"/>
                <w:kern w:val="0"/>
                <w:sz w:val="18"/>
                <w:szCs w:val="18"/>
              </w:rPr>
            </w:pPr>
            <w:r>
              <w:rPr>
                <w:rFonts w:hint="eastAsia" w:ascii="宋体" w:hAnsi="宋体" w:cs="Arial"/>
                <w:kern w:val="0"/>
                <w:sz w:val="18"/>
                <w:szCs w:val="18"/>
              </w:rPr>
              <w:t>　</w:t>
            </w:r>
            <w:r>
              <w:rPr>
                <w:rFonts w:ascii="宋体" w:hAnsi="宋体" w:cs="Arial"/>
                <w:color w:val="000000"/>
                <w:kern w:val="0"/>
                <w:sz w:val="22"/>
                <w:szCs w:val="22"/>
              </w:rPr>
              <w:t>2020</w:t>
            </w:r>
            <w:r>
              <w:rPr>
                <w:rFonts w:hint="eastAsia" w:ascii="宋体" w:hAnsi="宋体" w:cs="Arial"/>
                <w:color w:val="000000"/>
                <w:kern w:val="0"/>
                <w:sz w:val="22"/>
                <w:szCs w:val="22"/>
              </w:rPr>
              <w:t>年度</w:t>
            </w:r>
          </w:p>
        </w:tc>
        <w:tc>
          <w:tcPr>
            <w:tcW w:w="3360" w:type="dxa"/>
            <w:gridSpan w:val="5"/>
            <w:tcBorders>
              <w:top w:val="nil"/>
              <w:left w:val="nil"/>
              <w:bottom w:val="single" w:color="auto" w:sz="4" w:space="0"/>
            </w:tcBorders>
            <w:shd w:val="clear" w:color="000000" w:fill="FFFFFF"/>
            <w:vAlign w:val="center"/>
          </w:tcPr>
          <w:p>
            <w:pPr>
              <w:jc w:val="right"/>
              <w:rPr>
                <w:rFonts w:ascii="宋体" w:hAnsi="宋体" w:cs="Arial"/>
                <w:color w:val="000000"/>
                <w:kern w:val="0"/>
                <w:sz w:val="22"/>
                <w:szCs w:val="22"/>
              </w:rPr>
            </w:pPr>
            <w:r>
              <w:rPr>
                <w:rFonts w:hint="eastAsia" w:ascii="宋体" w:hAnsi="宋体" w:cs="Arial"/>
                <w:kern w:val="0"/>
                <w:sz w:val="18"/>
                <w:szCs w:val="18"/>
              </w:rPr>
              <w:t>　</w:t>
            </w:r>
            <w:r>
              <w:rPr>
                <w:rFonts w:hint="eastAsia" w:ascii="宋体" w:hAnsi="宋体" w:cs="Arial"/>
                <w:color w:val="000000"/>
                <w:kern w:val="0"/>
                <w:sz w:val="22"/>
                <w:szCs w:val="22"/>
              </w:rPr>
              <w:t>金额单位：万元</w:t>
            </w:r>
          </w:p>
        </w:tc>
      </w:tr>
      <w:tr>
        <w:tblPrEx>
          <w:tblLayout w:type="fixed"/>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auto"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项目</w:t>
            </w:r>
          </w:p>
        </w:tc>
        <w:tc>
          <w:tcPr>
            <w:tcW w:w="5040" w:type="dxa"/>
            <w:gridSpan w:val="7"/>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本年支出</w:t>
            </w:r>
          </w:p>
        </w:tc>
      </w:tr>
      <w:tr>
        <w:tblPrEx>
          <w:tblLayout w:type="fixed"/>
          <w:tblCellMar>
            <w:top w:w="0" w:type="dxa"/>
            <w:left w:w="108" w:type="dxa"/>
            <w:bottom w:w="0" w:type="dxa"/>
            <w:right w:w="108" w:type="dxa"/>
          </w:tblCellMar>
        </w:tblPrEx>
        <w:trPr>
          <w:trHeight w:val="300" w:hRule="atLeast"/>
        </w:trPr>
        <w:tc>
          <w:tcPr>
            <w:tcW w:w="187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功能分类科目编码</w:t>
            </w:r>
          </w:p>
        </w:tc>
        <w:tc>
          <w:tcPr>
            <w:tcW w:w="1547"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科目名称</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合计</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基本支出</w:t>
            </w:r>
          </w:p>
        </w:tc>
        <w:tc>
          <w:tcPr>
            <w:tcW w:w="1680" w:type="dxa"/>
            <w:gridSpan w:val="3"/>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jc w:val="left"/>
              <w:rPr>
                <w:rFonts w:ascii="宋体" w:hAnsi="宋体" w:cs="Arial"/>
                <w:kern w:val="0"/>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hint="eastAsia" w:ascii="宋体" w:hAnsi="宋体" w:cs="Arial"/>
                <w:kern w:val="0"/>
                <w:sz w:val="20"/>
                <w:szCs w:val="20"/>
              </w:rPr>
              <w:t>栏次</w:t>
            </w:r>
          </w:p>
        </w:tc>
        <w:tc>
          <w:tcPr>
            <w:tcW w:w="168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1</w:t>
            </w:r>
          </w:p>
        </w:tc>
        <w:tc>
          <w:tcPr>
            <w:tcW w:w="168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2</w:t>
            </w:r>
          </w:p>
        </w:tc>
        <w:tc>
          <w:tcPr>
            <w:tcW w:w="1680" w:type="dxa"/>
            <w:gridSpan w:val="3"/>
            <w:tcBorders>
              <w:top w:val="nil"/>
              <w:left w:val="nil"/>
              <w:bottom w:val="single" w:color="000000" w:sz="4" w:space="0"/>
              <w:right w:val="single" w:color="000000" w:sz="4" w:space="0"/>
            </w:tcBorders>
            <w:shd w:val="clear" w:color="000000" w:fill="C0C0C0"/>
            <w:vAlign w:val="center"/>
          </w:tcPr>
          <w:p>
            <w:pPr>
              <w:jc w:val="center"/>
              <w:rPr>
                <w:rFonts w:ascii="宋体" w:hAnsi="宋体" w:cs="Arial"/>
                <w:kern w:val="0"/>
                <w:sz w:val="20"/>
                <w:szCs w:val="20"/>
              </w:rPr>
            </w:pPr>
            <w:r>
              <w:rPr>
                <w:rFonts w:ascii="宋体" w:hAnsi="宋体" w:cs="Arial"/>
                <w:kern w:val="0"/>
                <w:sz w:val="20"/>
                <w:szCs w:val="20"/>
              </w:rPr>
              <w:t>3</w:t>
            </w:r>
          </w:p>
        </w:tc>
      </w:tr>
      <w:tr>
        <w:tblPrEx>
          <w:tblLayout w:type="fixed"/>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vAlign w:val="center"/>
          </w:tcPr>
          <w:p>
            <w:pPr>
              <w:jc w:val="left"/>
              <w:rPr>
                <w:rFonts w:ascii="宋体" w:hAnsi="宋体" w:cs="Arial"/>
                <w:kern w:val="0"/>
                <w:sz w:val="20"/>
                <w:szCs w:val="20"/>
              </w:rPr>
            </w:pPr>
            <w:r>
              <w:rPr>
                <w:rFonts w:hint="eastAsia" w:ascii="宋体" w:hAnsi="宋体" w:cs="Arial"/>
                <w:kern w:val="0"/>
                <w:sz w:val="20"/>
                <w:szCs w:val="20"/>
              </w:rPr>
              <w:t>合计</w:t>
            </w:r>
          </w:p>
        </w:tc>
        <w:tc>
          <w:tcPr>
            <w:tcW w:w="1680" w:type="dxa"/>
            <w:gridSpan w:val="2"/>
            <w:tcBorders>
              <w:top w:val="nil"/>
              <w:left w:val="nil"/>
              <w:bottom w:val="single" w:color="000000" w:sz="4" w:space="0"/>
              <w:right w:val="single" w:color="000000" w:sz="4" w:space="0"/>
            </w:tcBorders>
            <w:shd w:val="clear" w:color="000000" w:fill="00FF00"/>
            <w:vAlign w:val="center"/>
          </w:tcPr>
          <w:p>
            <w:pPr>
              <w:jc w:val="right"/>
              <w:rPr>
                <w:rFonts w:ascii="宋体" w:hAnsi="宋体" w:cs="Arial"/>
                <w:b/>
                <w:bCs/>
                <w:kern w:val="0"/>
                <w:sz w:val="20"/>
                <w:szCs w:val="20"/>
              </w:rPr>
            </w:pPr>
            <w:r>
              <w:rPr>
                <w:rFonts w:ascii="宋体" w:hAnsi="宋体" w:cs="Arial"/>
                <w:b/>
                <w:bCs/>
                <w:kern w:val="0"/>
                <w:sz w:val="20"/>
                <w:szCs w:val="20"/>
              </w:rPr>
              <w:t>0.00</w:t>
            </w:r>
            <w:r>
              <w:rPr>
                <w:rFonts w:hint="eastAsia" w:ascii="宋体" w:hAnsi="宋体" w:cs="Arial"/>
                <w:b/>
                <w:bCs/>
                <w:kern w:val="0"/>
                <w:sz w:val="20"/>
                <w:szCs w:val="20"/>
              </w:rPr>
              <w:t>　</w:t>
            </w:r>
          </w:p>
        </w:tc>
        <w:tc>
          <w:tcPr>
            <w:tcW w:w="1680" w:type="dxa"/>
            <w:gridSpan w:val="2"/>
            <w:tcBorders>
              <w:top w:val="nil"/>
              <w:left w:val="nil"/>
              <w:bottom w:val="single" w:color="000000" w:sz="4" w:space="0"/>
              <w:right w:val="single" w:color="000000" w:sz="4" w:space="0"/>
            </w:tcBorders>
            <w:shd w:val="clear" w:color="000000" w:fill="00FF00"/>
            <w:vAlign w:val="center"/>
          </w:tcPr>
          <w:p>
            <w:pPr>
              <w:jc w:val="right"/>
              <w:rPr>
                <w:rFonts w:ascii="宋体" w:hAnsi="宋体" w:cs="Arial"/>
                <w:b/>
                <w:bCs/>
                <w:kern w:val="0"/>
                <w:sz w:val="20"/>
                <w:szCs w:val="20"/>
              </w:rPr>
            </w:pPr>
            <w:r>
              <w:rPr>
                <w:rFonts w:ascii="宋体" w:hAnsi="宋体" w:cs="Arial"/>
                <w:b/>
                <w:bCs/>
                <w:kern w:val="0"/>
                <w:sz w:val="20"/>
                <w:szCs w:val="20"/>
              </w:rPr>
              <w:t>0.00</w:t>
            </w:r>
            <w:r>
              <w:rPr>
                <w:rFonts w:hint="eastAsia" w:ascii="宋体" w:hAnsi="宋体" w:cs="Arial"/>
                <w:b/>
                <w:bCs/>
                <w:kern w:val="0"/>
                <w:sz w:val="20"/>
                <w:szCs w:val="20"/>
              </w:rPr>
              <w:t>　</w:t>
            </w:r>
          </w:p>
        </w:tc>
        <w:tc>
          <w:tcPr>
            <w:tcW w:w="1680" w:type="dxa"/>
            <w:gridSpan w:val="3"/>
            <w:tcBorders>
              <w:top w:val="nil"/>
              <w:left w:val="nil"/>
              <w:bottom w:val="single" w:color="000000" w:sz="4" w:space="0"/>
              <w:right w:val="single" w:color="000000" w:sz="4" w:space="0"/>
            </w:tcBorders>
            <w:shd w:val="clear" w:color="000000" w:fill="00FF00"/>
            <w:vAlign w:val="center"/>
          </w:tcPr>
          <w:p>
            <w:pPr>
              <w:jc w:val="right"/>
              <w:rPr>
                <w:rFonts w:ascii="宋体" w:hAnsi="宋体" w:cs="Arial"/>
                <w:b/>
                <w:bCs/>
                <w:kern w:val="0"/>
                <w:sz w:val="20"/>
                <w:szCs w:val="20"/>
              </w:rPr>
            </w:pPr>
            <w:r>
              <w:rPr>
                <w:rFonts w:ascii="宋体" w:hAnsi="宋体" w:cs="Arial"/>
                <w:b/>
                <w:bCs/>
                <w:kern w:val="0"/>
                <w:sz w:val="20"/>
                <w:szCs w:val="20"/>
              </w:rPr>
              <w:t>0.00</w:t>
            </w:r>
            <w:r>
              <w:rPr>
                <w:rFonts w:hint="eastAsia" w:ascii="宋体" w:hAnsi="宋体" w:cs="Arial"/>
                <w:b/>
                <w:bCs/>
                <w:kern w:val="0"/>
                <w:sz w:val="20"/>
                <w:szCs w:val="20"/>
              </w:rPr>
              <w:t>　</w:t>
            </w:r>
          </w:p>
        </w:tc>
      </w:tr>
      <w:tr>
        <w:tblPrEx>
          <w:tblLayout w:type="fixed"/>
          <w:tblCellMar>
            <w:top w:w="0" w:type="dxa"/>
            <w:left w:w="108" w:type="dxa"/>
            <w:bottom w:w="0" w:type="dxa"/>
            <w:right w:w="108" w:type="dxa"/>
          </w:tblCellMar>
        </w:tblPrEx>
        <w:trPr>
          <w:trHeight w:val="300" w:hRule="atLeast"/>
        </w:trPr>
        <w:tc>
          <w:tcPr>
            <w:tcW w:w="1870" w:type="dxa"/>
            <w:gridSpan w:val="3"/>
            <w:tcBorders>
              <w:top w:val="nil"/>
              <w:left w:val="single" w:color="000000" w:sz="4" w:space="0"/>
              <w:bottom w:val="single" w:color="000000" w:sz="4" w:space="0"/>
              <w:right w:val="single" w:color="000000" w:sz="4" w:space="0"/>
            </w:tcBorders>
            <w:shd w:val="clear" w:color="000000" w:fill="FFFFFF"/>
            <w:vAlign w:val="center"/>
          </w:tcPr>
          <w:p>
            <w:pPr>
              <w:jc w:val="left"/>
              <w:rPr>
                <w:rFonts w:hint="default" w:ascii="宋体" w:hAnsi="宋体" w:eastAsia="宋体" w:cs="Arial"/>
                <w:kern w:val="0"/>
                <w:sz w:val="20"/>
                <w:szCs w:val="20"/>
                <w:lang w:val="en-US" w:eastAsia="zh-CN"/>
              </w:rPr>
            </w:pPr>
            <w:r>
              <w:rPr>
                <w:rFonts w:hint="eastAsia" w:ascii="宋体" w:hAnsi="宋体" w:cs="Arial"/>
                <w:kern w:val="0"/>
                <w:sz w:val="20"/>
                <w:szCs w:val="20"/>
              </w:rPr>
              <w:t>　</w:t>
            </w:r>
            <w:r>
              <w:rPr>
                <w:rFonts w:hint="eastAsia" w:ascii="宋体" w:hAnsi="宋体" w:cs="Arial"/>
                <w:kern w:val="0"/>
                <w:sz w:val="20"/>
                <w:szCs w:val="20"/>
                <w:lang w:val="en-US" w:eastAsia="zh-CN"/>
              </w:rPr>
              <w:t>此表无数据</w:t>
            </w:r>
          </w:p>
        </w:tc>
        <w:tc>
          <w:tcPr>
            <w:tcW w:w="1547" w:type="dxa"/>
            <w:gridSpan w:val="2"/>
            <w:tcBorders>
              <w:top w:val="nil"/>
              <w:left w:val="nil"/>
              <w:bottom w:val="single" w:color="000000" w:sz="4" w:space="0"/>
              <w:right w:val="single" w:color="000000" w:sz="4" w:space="0"/>
            </w:tcBorders>
            <w:shd w:val="clear" w:color="000000" w:fill="CCFFFF"/>
            <w:vAlign w:val="center"/>
          </w:tcPr>
          <w:p>
            <w:pPr>
              <w:jc w:val="left"/>
              <w:rPr>
                <w:rFonts w:ascii="宋体" w:hAnsi="宋体" w:cs="Arial"/>
                <w:kern w:val="0"/>
                <w:sz w:val="20"/>
                <w:szCs w:val="20"/>
              </w:rPr>
            </w:pPr>
            <w:r>
              <w:rPr>
                <w:rFonts w:hint="eastAsia" w:ascii="宋体" w:hAnsi="宋体" w:cs="Arial"/>
                <w:kern w:val="0"/>
                <w:sz w:val="20"/>
                <w:szCs w:val="20"/>
              </w:rPr>
              <w:t>　</w:t>
            </w:r>
          </w:p>
        </w:tc>
        <w:tc>
          <w:tcPr>
            <w:tcW w:w="168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680" w:type="dxa"/>
            <w:gridSpan w:val="2"/>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c>
          <w:tcPr>
            <w:tcW w:w="1680" w:type="dxa"/>
            <w:gridSpan w:val="3"/>
            <w:tcBorders>
              <w:top w:val="nil"/>
              <w:left w:val="nil"/>
              <w:bottom w:val="single" w:color="000000" w:sz="4" w:space="0"/>
              <w:right w:val="single" w:color="000000" w:sz="4" w:space="0"/>
            </w:tcBorders>
            <w:shd w:val="clear" w:color="000000" w:fill="FFFFFF"/>
            <w:vAlign w:val="center"/>
          </w:tcPr>
          <w:p>
            <w:pPr>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8457" w:type="dxa"/>
            <w:gridSpan w:val="12"/>
            <w:tcBorders>
              <w:top w:val="nil"/>
              <w:left w:val="nil"/>
              <w:bottom w:val="nil"/>
              <w:right w:val="nil"/>
            </w:tcBorders>
            <w:shd w:val="clear" w:color="000000" w:fill="FFFFFF"/>
            <w:vAlign w:val="center"/>
          </w:tcPr>
          <w:p>
            <w:pPr>
              <w:pStyle w:val="13"/>
              <w:spacing w:before="0" w:beforeAutospacing="0"/>
              <w:ind w:firstLine="500" w:firstLineChars="250"/>
              <w:outlineLvl w:val="1"/>
              <w:rPr>
                <w:rFonts w:cs="楷体"/>
                <w:sz w:val="20"/>
                <w:szCs w:val="20"/>
                <w:shd w:val="clear" w:color="auto" w:fill="FFFFFF"/>
              </w:rPr>
            </w:pPr>
            <w:r>
              <w:rPr>
                <w:rFonts w:hint="eastAsia" w:cs="Arial"/>
                <w:sz w:val="20"/>
                <w:szCs w:val="20"/>
              </w:rPr>
              <w:t>注：本表反映部门本年度国有资本经营预算财政拨款支出情况。</w:t>
            </w:r>
            <w:r>
              <w:rPr>
                <w:rFonts w:cs="楷体"/>
                <w:sz w:val="20"/>
                <w:szCs w:val="20"/>
                <w:shd w:val="clear" w:color="auto" w:fill="FFFFFF"/>
              </w:rPr>
              <w:t>2020</w:t>
            </w:r>
            <w:r>
              <w:rPr>
                <w:rFonts w:hint="eastAsia" w:cs="楷体"/>
                <w:sz w:val="20"/>
                <w:szCs w:val="20"/>
                <w:shd w:val="clear" w:color="auto" w:fill="FFFFFF"/>
              </w:rPr>
              <w:t>年度本部门无国有资本经营预算收支，因此本表无数据。</w:t>
            </w:r>
          </w:p>
          <w:p>
            <w:pPr>
              <w:jc w:val="left"/>
              <w:rPr>
                <w:rFonts w:ascii="宋体" w:hAnsi="宋体" w:cs="Arial"/>
                <w:kern w:val="0"/>
                <w:sz w:val="20"/>
                <w:szCs w:val="20"/>
              </w:rPr>
            </w:pPr>
          </w:p>
        </w:tc>
      </w:tr>
    </w:tbl>
    <w:p>
      <w:pPr>
        <w:jc w:val="left"/>
        <w:rPr>
          <w:rStyle w:val="15"/>
          <w:rFonts w:ascii="楷体" w:hAnsi="楷体" w:eastAsia="楷体" w:cs="楷体"/>
          <w:kern w:val="0"/>
          <w:sz w:val="32"/>
          <w:szCs w:val="32"/>
          <w:shd w:val="clear" w:color="auto" w:fill="FFFFFF"/>
        </w:rPr>
      </w:pPr>
      <w:r>
        <w:rPr>
          <w:rStyle w:val="15"/>
          <w:rFonts w:ascii="楷体" w:hAnsi="楷体" w:eastAsia="楷体" w:cs="楷体"/>
          <w:kern w:val="0"/>
          <w:sz w:val="32"/>
          <w:szCs w:val="32"/>
          <w:shd w:val="clear" w:color="auto" w:fill="FFFFFF"/>
        </w:rPr>
        <w:br w:type="page"/>
      </w:r>
    </w:p>
    <w:p>
      <w:pPr>
        <w:pStyle w:val="13"/>
        <w:spacing w:before="0" w:beforeAutospacing="0"/>
        <w:jc w:val="center"/>
        <w:outlineLvl w:val="0"/>
        <w:rPr>
          <w:rFonts w:cs="宋体"/>
          <w:sz w:val="44"/>
          <w:szCs w:val="44"/>
        </w:rPr>
      </w:pPr>
      <w:bookmarkStart w:id="14" w:name="_Toc1903"/>
      <w:r>
        <w:rPr>
          <w:rStyle w:val="15"/>
          <w:rFonts w:hint="eastAsia" w:ascii="黑体" w:hAnsi="黑体" w:eastAsia="黑体" w:cs="黑体"/>
          <w:sz w:val="44"/>
          <w:szCs w:val="44"/>
          <w:shd w:val="clear" w:color="auto" w:fill="FFFFFF"/>
        </w:rPr>
        <w:t>第三部分</w:t>
      </w:r>
      <w:r>
        <w:rPr>
          <w:rStyle w:val="15"/>
          <w:rFonts w:ascii="黑体" w:hAnsi="黑体" w:eastAsia="黑体" w:cs="黑体"/>
          <w:sz w:val="44"/>
          <w:szCs w:val="44"/>
          <w:shd w:val="clear" w:color="auto" w:fill="FFFFFF"/>
        </w:rPr>
        <w:t xml:space="preserve"> 2020</w:t>
      </w:r>
      <w:r>
        <w:rPr>
          <w:rStyle w:val="15"/>
          <w:rFonts w:hint="eastAsia" w:ascii="黑体" w:hAnsi="黑体" w:eastAsia="黑体" w:cs="黑体"/>
          <w:sz w:val="44"/>
          <w:szCs w:val="44"/>
          <w:shd w:val="clear" w:color="auto" w:fill="FFFFFF"/>
        </w:rPr>
        <w:t>年度部门决算情况说明</w:t>
      </w:r>
      <w:bookmarkEnd w:id="14"/>
    </w:p>
    <w:p>
      <w:pPr>
        <w:pStyle w:val="13"/>
        <w:spacing w:before="0" w:beforeAutospacing="0" w:after="0" w:afterAutospacing="0" w:line="560" w:lineRule="exact"/>
        <w:ind w:firstLine="640" w:firstLineChars="200"/>
        <w:outlineLvl w:val="1"/>
        <w:rPr>
          <w:rStyle w:val="15"/>
          <w:rFonts w:ascii="楷体_GB2312" w:eastAsia="楷体_GB2312"/>
          <w:color w:val="FF0000"/>
          <w:shd w:val="clear" w:color="auto" w:fill="FFFFFF"/>
        </w:rPr>
      </w:pPr>
      <w:bookmarkStart w:id="15" w:name="_Toc8716"/>
      <w:bookmarkStart w:id="16" w:name="_Toc20259"/>
      <w:r>
        <w:rPr>
          <w:rStyle w:val="15"/>
          <w:rFonts w:hint="eastAsia" w:ascii="楷体_GB2312" w:hAnsi="楷体" w:eastAsia="楷体_GB2312" w:cs="楷体"/>
          <w:b w:val="0"/>
          <w:sz w:val="32"/>
          <w:szCs w:val="32"/>
          <w:shd w:val="clear" w:color="auto" w:fill="FFFFFF"/>
        </w:rPr>
        <w:t>一、收入支出决算总体情况说明</w:t>
      </w:r>
      <w:bookmarkEnd w:id="15"/>
      <w:bookmarkEnd w:id="16"/>
    </w:p>
    <w:p>
      <w:pPr>
        <w:pStyle w:val="13"/>
        <w:spacing w:before="0" w:beforeAutospacing="0" w:after="0" w:afterAutospacing="0" w:line="560" w:lineRule="exact"/>
        <w:ind w:firstLine="640" w:firstLineChars="200"/>
        <w:rPr>
          <w:rFonts w:ascii="仿宋_GB2312" w:eastAsia="仿宋_GB2312" w:cs="宋体"/>
          <w:sz w:val="32"/>
          <w:szCs w:val="32"/>
        </w:rPr>
      </w:pPr>
      <w:bookmarkStart w:id="17" w:name="_Toc20242"/>
      <w:r>
        <w:rPr>
          <w:rFonts w:ascii="仿宋_GB2312" w:eastAsia="仿宋_GB2312" w:cs="宋体"/>
          <w:sz w:val="32"/>
          <w:szCs w:val="32"/>
        </w:rPr>
        <w:t>2020</w:t>
      </w:r>
      <w:r>
        <w:rPr>
          <w:rFonts w:hint="eastAsia" w:ascii="仿宋_GB2312" w:eastAsia="仿宋_GB2312" w:cs="宋体"/>
          <w:sz w:val="32"/>
          <w:szCs w:val="32"/>
        </w:rPr>
        <w:t>年收入、支出总计</w:t>
      </w:r>
      <w:r>
        <w:rPr>
          <w:rFonts w:ascii="仿宋_GB2312" w:eastAsia="仿宋_GB2312" w:cs="宋体"/>
          <w:sz w:val="32"/>
          <w:szCs w:val="32"/>
        </w:rPr>
        <w:t>2343.09</w:t>
      </w:r>
      <w:r>
        <w:rPr>
          <w:rFonts w:hint="eastAsia" w:ascii="仿宋_GB2312" w:eastAsia="仿宋_GB2312" w:cs="宋体"/>
          <w:sz w:val="32"/>
          <w:szCs w:val="32"/>
        </w:rPr>
        <w:t>万元，较</w:t>
      </w:r>
      <w:r>
        <w:rPr>
          <w:rFonts w:ascii="仿宋_GB2312" w:eastAsia="仿宋_GB2312" w:cs="宋体"/>
          <w:sz w:val="32"/>
          <w:szCs w:val="32"/>
        </w:rPr>
        <w:t>2019</w:t>
      </w:r>
      <w:r>
        <w:rPr>
          <w:rFonts w:hint="eastAsia" w:ascii="仿宋_GB2312" w:eastAsia="仿宋_GB2312" w:cs="宋体"/>
          <w:sz w:val="32"/>
          <w:szCs w:val="32"/>
        </w:rPr>
        <w:t>年</w:t>
      </w:r>
      <w:r>
        <w:rPr>
          <w:rFonts w:ascii="仿宋_GB2312" w:eastAsia="仿宋_GB2312" w:cs="宋体"/>
          <w:sz w:val="32"/>
          <w:szCs w:val="32"/>
        </w:rPr>
        <w:t>2980.93</w:t>
      </w:r>
      <w:r>
        <w:rPr>
          <w:rFonts w:hint="eastAsia" w:ascii="仿宋_GB2312" w:eastAsia="仿宋_GB2312" w:cs="宋体"/>
          <w:sz w:val="32"/>
          <w:szCs w:val="32"/>
        </w:rPr>
        <w:t>万元减少</w:t>
      </w:r>
      <w:r>
        <w:rPr>
          <w:rFonts w:ascii="仿宋_GB2312" w:eastAsia="仿宋_GB2312" w:cs="宋体"/>
          <w:sz w:val="32"/>
          <w:szCs w:val="32"/>
        </w:rPr>
        <w:t>637.84</w:t>
      </w:r>
      <w:r>
        <w:rPr>
          <w:rFonts w:hint="eastAsia" w:ascii="仿宋_GB2312" w:eastAsia="仿宋_GB2312" w:cs="宋体"/>
          <w:sz w:val="32"/>
          <w:szCs w:val="32"/>
        </w:rPr>
        <w:t>万元，降幅</w:t>
      </w:r>
      <w:r>
        <w:rPr>
          <w:rFonts w:ascii="仿宋_GB2312" w:eastAsia="仿宋_GB2312" w:cs="宋体"/>
          <w:sz w:val="32"/>
          <w:szCs w:val="32"/>
        </w:rPr>
        <w:t>27.22%</w:t>
      </w:r>
      <w:r>
        <w:rPr>
          <w:rFonts w:hint="eastAsia" w:ascii="仿宋_GB2312" w:eastAsia="仿宋_GB2312" w:cs="宋体"/>
          <w:sz w:val="32"/>
          <w:szCs w:val="32"/>
        </w:rPr>
        <w:t>。收支下降的主要原因是为落实中央和省委省政府过“紧”日子的政策要求，压减一般性支出；其他收入减少</w:t>
      </w:r>
      <w:r>
        <w:rPr>
          <w:rFonts w:ascii="仿宋_GB2312" w:eastAsia="仿宋_GB2312" w:cs="宋体"/>
          <w:sz w:val="32"/>
          <w:szCs w:val="32"/>
        </w:rPr>
        <w:t>754.43</w:t>
      </w:r>
      <w:r>
        <w:rPr>
          <w:rFonts w:hint="eastAsia" w:ascii="仿宋_GB2312" w:eastAsia="仿宋_GB2312" w:cs="宋体"/>
          <w:sz w:val="32"/>
          <w:szCs w:val="32"/>
        </w:rPr>
        <w:t>万，主要因为一方面非税返还部分逐年减少，省级统管改革后地方财政应承担的部分保障能力不足，另一方面机关建设项目减少、由地方承担的奖金等津补贴支出减少。</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z w:val="32"/>
          <w:szCs w:val="32"/>
          <w:shd w:val="clear" w:color="auto" w:fill="FFFFFF"/>
        </w:rPr>
      </w:pPr>
      <w:bookmarkStart w:id="18" w:name="_Toc1157"/>
      <w:r>
        <w:rPr>
          <w:rStyle w:val="15"/>
          <w:rFonts w:hint="eastAsia" w:ascii="楷体_GB2312" w:hAnsi="楷体" w:eastAsia="楷体_GB2312" w:cs="楷体"/>
          <w:b w:val="0"/>
          <w:sz w:val="32"/>
          <w:szCs w:val="32"/>
          <w:shd w:val="clear" w:color="auto" w:fill="FFFFFF"/>
        </w:rPr>
        <w:t>二、收入决算情况说明</w:t>
      </w:r>
      <w:bookmarkEnd w:id="17"/>
      <w:bookmarkEnd w:id="18"/>
    </w:p>
    <w:p>
      <w:pPr>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本年收入合计</w:t>
      </w:r>
      <w:r>
        <w:rPr>
          <w:rFonts w:ascii="仿宋_GB2312" w:hAnsi="宋体" w:eastAsia="仿宋_GB2312"/>
          <w:kern w:val="0"/>
          <w:sz w:val="32"/>
          <w:szCs w:val="32"/>
        </w:rPr>
        <w:t>2271.74</w:t>
      </w:r>
      <w:r>
        <w:rPr>
          <w:rFonts w:hint="eastAsia" w:ascii="仿宋_GB2312" w:hAnsi="宋体" w:eastAsia="仿宋_GB2312" w:cs="Times New Roman"/>
          <w:kern w:val="0"/>
          <w:sz w:val="32"/>
          <w:szCs w:val="32"/>
        </w:rPr>
        <w:t>万元，其中，财政拨款收入</w:t>
      </w:r>
      <w:r>
        <w:rPr>
          <w:rFonts w:ascii="仿宋_GB2312" w:hAnsi="宋体" w:eastAsia="仿宋_GB2312" w:cs="Times New Roman"/>
          <w:kern w:val="0"/>
          <w:sz w:val="32"/>
          <w:szCs w:val="32"/>
        </w:rPr>
        <w:t>1981.86</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87.24%</w:t>
      </w:r>
      <w:r>
        <w:rPr>
          <w:rFonts w:hint="eastAsia" w:ascii="仿宋_GB2312" w:hAnsi="宋体" w:eastAsia="仿宋_GB2312" w:cs="Times New Roman"/>
          <w:kern w:val="0"/>
          <w:sz w:val="32"/>
          <w:szCs w:val="32"/>
        </w:rPr>
        <w:t>；上级补助收入</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；事业收入</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；经营收入</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；附属单位上缴收入</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；其他收入</w:t>
      </w:r>
      <w:r>
        <w:rPr>
          <w:rFonts w:ascii="仿宋_GB2312" w:hAnsi="宋体" w:eastAsia="仿宋_GB2312" w:cs="Times New Roman"/>
          <w:kern w:val="0"/>
          <w:sz w:val="32"/>
          <w:szCs w:val="32"/>
        </w:rPr>
        <w:t>289.88</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12.76%</w:t>
      </w:r>
      <w:r>
        <w:rPr>
          <w:rFonts w:hint="eastAsia" w:ascii="仿宋_GB2312" w:hAnsi="宋体" w:eastAsia="仿宋_GB2312" w:cs="Times New Roman"/>
          <w:kern w:val="0"/>
          <w:sz w:val="32"/>
          <w:szCs w:val="32"/>
        </w:rPr>
        <w:t>。</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z w:val="32"/>
          <w:szCs w:val="32"/>
          <w:shd w:val="clear" w:color="auto" w:fill="FFFFFF"/>
        </w:rPr>
      </w:pPr>
      <w:bookmarkStart w:id="19" w:name="_Toc32306"/>
      <w:bookmarkStart w:id="20" w:name="_Toc7581"/>
      <w:r>
        <w:rPr>
          <w:rStyle w:val="15"/>
          <w:rFonts w:hint="eastAsia" w:ascii="楷体_GB2312" w:hAnsi="楷体" w:eastAsia="楷体_GB2312" w:cs="楷体"/>
          <w:b w:val="0"/>
          <w:sz w:val="32"/>
          <w:szCs w:val="32"/>
          <w:shd w:val="clear" w:color="auto" w:fill="FFFFFF"/>
        </w:rPr>
        <w:t>三、支出决算情况说明</w:t>
      </w:r>
      <w:bookmarkEnd w:id="19"/>
      <w:bookmarkEnd w:id="20"/>
    </w:p>
    <w:p>
      <w:pPr>
        <w:spacing w:line="560" w:lineRule="exact"/>
        <w:ind w:firstLine="640" w:firstLineChars="200"/>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本年支出合计</w:t>
      </w:r>
      <w:r>
        <w:rPr>
          <w:rFonts w:ascii="仿宋_GB2312" w:hAnsi="宋体" w:eastAsia="仿宋_GB2312" w:cs="Times New Roman"/>
          <w:kern w:val="0"/>
          <w:sz w:val="32"/>
          <w:szCs w:val="32"/>
        </w:rPr>
        <w:t>2318.91</w:t>
      </w:r>
      <w:r>
        <w:rPr>
          <w:rFonts w:hint="eastAsia" w:ascii="仿宋_GB2312" w:hAnsi="宋体" w:eastAsia="仿宋_GB2312" w:cs="Times New Roman"/>
          <w:kern w:val="0"/>
          <w:sz w:val="32"/>
          <w:szCs w:val="32"/>
        </w:rPr>
        <w:t>万元，其中，基本支出</w:t>
      </w:r>
      <w:r>
        <w:rPr>
          <w:rFonts w:ascii="仿宋_GB2312" w:hAnsi="宋体" w:eastAsia="仿宋_GB2312" w:cs="Times New Roman"/>
          <w:kern w:val="0"/>
          <w:sz w:val="32"/>
          <w:szCs w:val="32"/>
        </w:rPr>
        <w:t>1919.01</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82.75%</w:t>
      </w:r>
      <w:r>
        <w:rPr>
          <w:rFonts w:hint="eastAsia" w:ascii="仿宋_GB2312" w:hAnsi="宋体" w:eastAsia="仿宋_GB2312" w:cs="Times New Roman"/>
          <w:kern w:val="0"/>
          <w:sz w:val="32"/>
          <w:szCs w:val="32"/>
        </w:rPr>
        <w:t>；项目支出</w:t>
      </w:r>
      <w:r>
        <w:rPr>
          <w:rFonts w:ascii="仿宋_GB2312" w:hAnsi="宋体" w:eastAsia="仿宋_GB2312" w:cs="Times New Roman"/>
          <w:kern w:val="0"/>
          <w:sz w:val="32"/>
          <w:szCs w:val="32"/>
        </w:rPr>
        <w:t>399.9</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17.25%</w:t>
      </w:r>
      <w:r>
        <w:rPr>
          <w:rFonts w:hint="eastAsia" w:ascii="仿宋_GB2312" w:hAnsi="宋体" w:eastAsia="仿宋_GB2312" w:cs="Times New Roman"/>
          <w:kern w:val="0"/>
          <w:sz w:val="32"/>
          <w:szCs w:val="32"/>
        </w:rPr>
        <w:t>；上缴上级支出</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；经营支出</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；对附属单位补助支出</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万元，占比</w:t>
      </w:r>
      <w:r>
        <w:rPr>
          <w:rFonts w:ascii="仿宋_GB2312" w:hAnsi="宋体" w:eastAsia="仿宋_GB2312" w:cs="Times New Roman"/>
          <w:kern w:val="0"/>
          <w:sz w:val="32"/>
          <w:szCs w:val="32"/>
        </w:rPr>
        <w:t>0%</w:t>
      </w:r>
      <w:r>
        <w:rPr>
          <w:rFonts w:hint="eastAsia" w:ascii="仿宋_GB2312" w:hAnsi="宋体" w:eastAsia="仿宋_GB2312" w:cs="Times New Roman"/>
          <w:kern w:val="0"/>
          <w:sz w:val="32"/>
          <w:szCs w:val="32"/>
        </w:rPr>
        <w:t>。</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hd w:val="clear" w:color="auto" w:fill="FFFFFF"/>
        </w:rPr>
      </w:pPr>
      <w:bookmarkStart w:id="21" w:name="_Toc19070"/>
      <w:bookmarkStart w:id="22" w:name="_Toc1788"/>
      <w:r>
        <w:rPr>
          <w:rStyle w:val="15"/>
          <w:rFonts w:hint="eastAsia" w:ascii="楷体_GB2312" w:hAnsi="楷体" w:eastAsia="楷体_GB2312" w:cs="楷体"/>
          <w:b w:val="0"/>
          <w:sz w:val="32"/>
          <w:szCs w:val="32"/>
          <w:shd w:val="clear" w:color="auto" w:fill="FFFFFF"/>
        </w:rPr>
        <w:t>四、财政拨款收入支出决算总体情况说明</w:t>
      </w:r>
      <w:bookmarkEnd w:id="21"/>
      <w:bookmarkEnd w:id="22"/>
    </w:p>
    <w:p>
      <w:pPr>
        <w:pStyle w:val="13"/>
        <w:spacing w:before="0" w:beforeAutospacing="0" w:after="0" w:afterAutospacing="0" w:line="560" w:lineRule="exact"/>
        <w:ind w:firstLine="640" w:firstLineChars="200"/>
        <w:rPr>
          <w:rFonts w:eastAsia="仿宋_GB2312"/>
          <w:b/>
          <w:bCs/>
          <w:color w:val="FF0000"/>
          <w:sz w:val="32"/>
          <w:szCs w:val="32"/>
        </w:rPr>
      </w:pPr>
      <w:r>
        <w:rPr>
          <w:rFonts w:ascii="仿宋_GB2312" w:eastAsia="仿宋_GB2312"/>
          <w:sz w:val="32"/>
          <w:szCs w:val="32"/>
        </w:rPr>
        <w:t>2020</w:t>
      </w:r>
      <w:r>
        <w:rPr>
          <w:rFonts w:hint="eastAsia" w:ascii="仿宋_GB2312" w:eastAsia="仿宋_GB2312"/>
          <w:sz w:val="32"/>
          <w:szCs w:val="32"/>
        </w:rPr>
        <w:t>年度财政拨款收入、支出总计</w:t>
      </w:r>
      <w:r>
        <w:rPr>
          <w:rFonts w:ascii="仿宋_GB2312" w:eastAsia="仿宋_GB2312"/>
          <w:sz w:val="32"/>
          <w:szCs w:val="32"/>
        </w:rPr>
        <w:t>2053.21</w:t>
      </w:r>
      <w:r>
        <w:rPr>
          <w:rFonts w:hint="eastAsia" w:ascii="仿宋_GB2312" w:eastAsia="仿宋_GB2312"/>
          <w:sz w:val="32"/>
          <w:szCs w:val="32"/>
        </w:rPr>
        <w:t>万元，较上年增加了</w:t>
      </w:r>
      <w:r>
        <w:rPr>
          <w:rFonts w:ascii="仿宋_GB2312" w:eastAsia="仿宋_GB2312"/>
          <w:sz w:val="32"/>
          <w:szCs w:val="32"/>
        </w:rPr>
        <w:t>116.59</w:t>
      </w:r>
      <w:r>
        <w:rPr>
          <w:rFonts w:hint="eastAsia" w:ascii="仿宋_GB2312" w:eastAsia="仿宋_GB2312"/>
          <w:sz w:val="32"/>
          <w:szCs w:val="32"/>
        </w:rPr>
        <w:t>万元，增幅</w:t>
      </w:r>
      <w:r>
        <w:rPr>
          <w:rFonts w:ascii="仿宋_GB2312" w:eastAsia="仿宋_GB2312"/>
          <w:sz w:val="32"/>
          <w:szCs w:val="32"/>
        </w:rPr>
        <w:t>5.68%</w:t>
      </w:r>
      <w:r>
        <w:rPr>
          <w:rFonts w:hint="eastAsia" w:ascii="仿宋_GB2312" w:eastAsia="仿宋_GB2312"/>
          <w:sz w:val="32"/>
          <w:szCs w:val="32"/>
        </w:rPr>
        <w:t>。</w:t>
      </w:r>
      <w:r>
        <w:rPr>
          <w:rFonts w:hint="eastAsia" w:eastAsia="仿宋_GB2312"/>
          <w:sz w:val="32"/>
          <w:szCs w:val="32"/>
        </w:rPr>
        <w:t>财政拨款收支增加的主要原因</w:t>
      </w:r>
      <w:r>
        <w:rPr>
          <w:rFonts w:hint="eastAsia" w:ascii="仿宋_GB2312" w:eastAsia="仿宋_GB2312" w:cs="宋体"/>
          <w:sz w:val="32"/>
          <w:szCs w:val="32"/>
        </w:rPr>
        <w:t>是年中因工作实际情况追加项目经费和办案经费导致财政拨款收支增加</w:t>
      </w:r>
      <w:r>
        <w:rPr>
          <w:rFonts w:hint="eastAsia" w:eastAsia="仿宋_GB2312"/>
          <w:b/>
          <w:bCs/>
          <w:sz w:val="32"/>
          <w:szCs w:val="32"/>
        </w:rPr>
        <w:t>。</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hd w:val="clear" w:color="auto" w:fill="FFFFFF"/>
        </w:rPr>
      </w:pPr>
      <w:bookmarkStart w:id="23" w:name="_Toc28242"/>
      <w:bookmarkStart w:id="24" w:name="_Toc330"/>
      <w:r>
        <w:rPr>
          <w:rStyle w:val="15"/>
          <w:rFonts w:hint="eastAsia" w:ascii="楷体_GB2312" w:hAnsi="楷体" w:eastAsia="楷体_GB2312" w:cs="楷体"/>
          <w:b w:val="0"/>
          <w:sz w:val="32"/>
          <w:szCs w:val="32"/>
          <w:shd w:val="clear" w:color="auto" w:fill="FFFFFF"/>
        </w:rPr>
        <w:t>五、一般公共预算财政拨款支出决算情况说明</w:t>
      </w:r>
      <w:bookmarkEnd w:id="23"/>
      <w:bookmarkEnd w:id="24"/>
    </w:p>
    <w:p>
      <w:pPr>
        <w:pStyle w:val="13"/>
        <w:spacing w:before="0" w:beforeAutospacing="0" w:after="0" w:afterAutospacing="0" w:line="560" w:lineRule="exact"/>
        <w:ind w:firstLine="640" w:firstLineChars="200"/>
        <w:rPr>
          <w:rStyle w:val="15"/>
          <w:rFonts w:ascii="楷体_GB2312" w:hAnsi="楷体" w:eastAsia="楷体_GB2312" w:cs="楷体"/>
          <w:b w:val="0"/>
          <w:sz w:val="32"/>
          <w:szCs w:val="32"/>
          <w:shd w:val="clear" w:color="auto" w:fill="FFFFFF"/>
        </w:rPr>
      </w:pPr>
      <w:r>
        <w:rPr>
          <w:rStyle w:val="15"/>
          <w:rFonts w:hint="eastAsia" w:ascii="楷体_GB2312" w:hAnsi="楷体" w:eastAsia="楷体_GB2312" w:cs="楷体"/>
          <w:b w:val="0"/>
          <w:sz w:val="32"/>
          <w:szCs w:val="32"/>
          <w:shd w:val="clear" w:color="auto" w:fill="FFFFFF"/>
        </w:rPr>
        <w:t>（一）财政拨款支出决算总体情况</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sz w:val="32"/>
          <w:szCs w:val="32"/>
        </w:rPr>
        <w:t>2020</w:t>
      </w:r>
      <w:r>
        <w:rPr>
          <w:rFonts w:hint="eastAsia" w:ascii="仿宋_GB2312" w:eastAsia="仿宋_GB2312"/>
          <w:sz w:val="32"/>
          <w:szCs w:val="32"/>
        </w:rPr>
        <w:t>年度财政拨款支出</w:t>
      </w:r>
      <w:r>
        <w:rPr>
          <w:rFonts w:ascii="仿宋_GB2312" w:eastAsia="仿宋_GB2312"/>
          <w:sz w:val="32"/>
          <w:szCs w:val="32"/>
        </w:rPr>
        <w:t>2029.03</w:t>
      </w:r>
      <w:r>
        <w:rPr>
          <w:rFonts w:hint="eastAsia" w:ascii="仿宋_GB2312" w:eastAsia="仿宋_GB2312"/>
          <w:sz w:val="32"/>
          <w:szCs w:val="32"/>
        </w:rPr>
        <w:t>万元，占本年支出合计的</w:t>
      </w:r>
      <w:r>
        <w:rPr>
          <w:rFonts w:ascii="仿宋_GB2312" w:eastAsia="仿宋_GB2312"/>
          <w:sz w:val="32"/>
          <w:szCs w:val="32"/>
        </w:rPr>
        <w:t>87.5%</w:t>
      </w:r>
      <w:r>
        <w:rPr>
          <w:rFonts w:hint="eastAsia" w:ascii="仿宋_GB2312" w:eastAsia="仿宋_GB2312"/>
          <w:sz w:val="32"/>
          <w:szCs w:val="32"/>
        </w:rPr>
        <w:t>，较</w:t>
      </w:r>
      <w:r>
        <w:rPr>
          <w:rFonts w:ascii="仿宋_GB2312" w:eastAsia="仿宋_GB2312"/>
          <w:sz w:val="32"/>
          <w:szCs w:val="32"/>
        </w:rPr>
        <w:t>2019</w:t>
      </w:r>
      <w:r>
        <w:rPr>
          <w:rFonts w:hint="eastAsia" w:ascii="仿宋_GB2312" w:eastAsia="仿宋_GB2312"/>
          <w:sz w:val="32"/>
          <w:szCs w:val="32"/>
        </w:rPr>
        <w:t>年度财政拨款支出增加</w:t>
      </w:r>
      <w:r>
        <w:rPr>
          <w:rFonts w:ascii="仿宋_GB2312" w:eastAsia="仿宋_GB2312"/>
          <w:sz w:val="32"/>
          <w:szCs w:val="32"/>
        </w:rPr>
        <w:t>169.11</w:t>
      </w:r>
      <w:r>
        <w:rPr>
          <w:rFonts w:hint="eastAsia" w:ascii="仿宋_GB2312" w:eastAsia="仿宋_GB2312"/>
          <w:sz w:val="32"/>
          <w:szCs w:val="32"/>
        </w:rPr>
        <w:t>万元，增幅</w:t>
      </w:r>
      <w:r>
        <w:rPr>
          <w:rFonts w:ascii="仿宋_GB2312" w:eastAsia="仿宋_GB2312"/>
          <w:sz w:val="32"/>
          <w:szCs w:val="32"/>
        </w:rPr>
        <w:t>8.33%</w:t>
      </w:r>
      <w:r>
        <w:rPr>
          <w:rFonts w:hint="eastAsia" w:ascii="仿宋_GB2312" w:eastAsia="仿宋_GB2312"/>
          <w:sz w:val="32"/>
          <w:szCs w:val="32"/>
        </w:rPr>
        <w:t>。财政拨款支出增加的主要原因</w:t>
      </w:r>
      <w:r>
        <w:rPr>
          <w:rFonts w:hint="eastAsia" w:ascii="仿宋_GB2312" w:eastAsia="仿宋_GB2312" w:cs="宋体"/>
          <w:sz w:val="32"/>
          <w:szCs w:val="32"/>
        </w:rPr>
        <w:t>是为提升智慧检务水平，我院在本年度开展了听证室建设、“两网一线”建设、档案室扩容、未检办案工作区建设等项目建设，导致财政拨款支出增加。</w:t>
      </w:r>
    </w:p>
    <w:p>
      <w:pPr>
        <w:pStyle w:val="13"/>
        <w:spacing w:before="0" w:beforeAutospacing="0" w:after="0" w:afterAutospacing="0" w:line="560" w:lineRule="exact"/>
        <w:ind w:firstLine="640" w:firstLineChars="200"/>
        <w:rPr>
          <w:rStyle w:val="15"/>
          <w:rFonts w:ascii="楷体_GB2312" w:hAnsi="楷体" w:eastAsia="楷体_GB2312" w:cs="楷体"/>
          <w:b w:val="0"/>
          <w:sz w:val="32"/>
          <w:szCs w:val="32"/>
          <w:shd w:val="clear" w:color="auto" w:fill="FFFFFF"/>
        </w:rPr>
      </w:pPr>
      <w:r>
        <w:rPr>
          <w:rStyle w:val="15"/>
          <w:rFonts w:hint="eastAsia" w:ascii="楷体_GB2312" w:hAnsi="楷体" w:eastAsia="楷体_GB2312" w:cs="楷体"/>
          <w:b w:val="0"/>
          <w:sz w:val="32"/>
          <w:szCs w:val="32"/>
          <w:shd w:val="clear" w:color="auto" w:fill="FFFFFF"/>
        </w:rPr>
        <w:t>（二）财政拨款支出决算结构情况</w:t>
      </w:r>
    </w:p>
    <w:p>
      <w:pPr>
        <w:spacing w:line="560" w:lineRule="exact"/>
        <w:ind w:firstLine="640" w:firstLineChars="200"/>
        <w:jc w:val="left"/>
        <w:rPr>
          <w:rFonts w:ascii="仿宋_GB2312" w:hAnsi="宋体" w:eastAsia="仿宋_GB2312" w:cs="Times New Roman"/>
          <w:color w:val="FF0000"/>
          <w:kern w:val="0"/>
          <w:sz w:val="24"/>
          <w:szCs w:val="24"/>
        </w:rPr>
      </w:pPr>
      <w:r>
        <w:rPr>
          <w:rFonts w:ascii="仿宋_GB2312" w:hAnsi="宋体" w:eastAsia="仿宋_GB2312"/>
          <w:kern w:val="0"/>
          <w:sz w:val="32"/>
          <w:szCs w:val="32"/>
        </w:rPr>
        <w:t>2020</w:t>
      </w:r>
      <w:r>
        <w:rPr>
          <w:rFonts w:hint="eastAsia" w:ascii="仿宋_GB2312" w:hAnsi="宋体" w:eastAsia="仿宋_GB2312"/>
          <w:kern w:val="0"/>
          <w:sz w:val="32"/>
          <w:szCs w:val="32"/>
        </w:rPr>
        <w:t>年度财政拨款支出</w:t>
      </w:r>
      <w:r>
        <w:rPr>
          <w:rFonts w:ascii="仿宋_GB2312" w:hAnsi="宋体" w:eastAsia="仿宋_GB2312" w:cs="Times New Roman"/>
          <w:kern w:val="0"/>
          <w:sz w:val="32"/>
          <w:szCs w:val="32"/>
        </w:rPr>
        <w:t>202</w:t>
      </w:r>
      <w:r>
        <w:rPr>
          <w:rFonts w:ascii="仿宋_GB2312" w:hAnsi="宋体" w:eastAsia="仿宋_GB2312"/>
          <w:kern w:val="0"/>
          <w:sz w:val="32"/>
          <w:szCs w:val="32"/>
        </w:rPr>
        <w:t>9.03</w:t>
      </w:r>
      <w:r>
        <w:rPr>
          <w:rFonts w:hint="eastAsia" w:ascii="仿宋_GB2312" w:hAnsi="宋体" w:eastAsia="仿宋_GB2312"/>
          <w:kern w:val="0"/>
          <w:sz w:val="32"/>
          <w:szCs w:val="32"/>
        </w:rPr>
        <w:t>万元，主要用于以下方面：公共安全支出</w:t>
      </w:r>
      <w:r>
        <w:rPr>
          <w:rFonts w:ascii="仿宋_GB2312" w:hAnsi="宋体" w:eastAsia="仿宋_GB2312"/>
          <w:kern w:val="0"/>
          <w:sz w:val="32"/>
          <w:szCs w:val="32"/>
        </w:rPr>
        <w:t>1756.31</w:t>
      </w:r>
      <w:r>
        <w:rPr>
          <w:rFonts w:hint="eastAsia" w:ascii="仿宋_GB2312" w:hAnsi="宋体" w:eastAsia="仿宋_GB2312"/>
          <w:kern w:val="0"/>
          <w:sz w:val="32"/>
          <w:szCs w:val="32"/>
        </w:rPr>
        <w:t>万元，占比</w:t>
      </w:r>
      <w:r>
        <w:rPr>
          <w:rFonts w:ascii="仿宋_GB2312" w:hAnsi="宋体" w:eastAsia="仿宋_GB2312"/>
          <w:kern w:val="0"/>
          <w:sz w:val="32"/>
          <w:szCs w:val="32"/>
        </w:rPr>
        <w:t>86.56%</w:t>
      </w:r>
      <w:r>
        <w:rPr>
          <w:rFonts w:hint="eastAsia" w:ascii="仿宋_GB2312" w:hAnsi="宋体" w:eastAsia="仿宋_GB2312"/>
          <w:kern w:val="0"/>
          <w:sz w:val="32"/>
          <w:szCs w:val="32"/>
        </w:rPr>
        <w:t>；社会保障和就业支出</w:t>
      </w:r>
      <w:r>
        <w:rPr>
          <w:rFonts w:ascii="仿宋_GB2312" w:hAnsi="宋体" w:eastAsia="仿宋_GB2312"/>
          <w:kern w:val="0"/>
          <w:sz w:val="32"/>
          <w:szCs w:val="32"/>
        </w:rPr>
        <w:t>95.58</w:t>
      </w:r>
      <w:r>
        <w:rPr>
          <w:rFonts w:hint="eastAsia" w:ascii="仿宋_GB2312" w:hAnsi="宋体" w:eastAsia="仿宋_GB2312"/>
          <w:kern w:val="0"/>
          <w:sz w:val="32"/>
          <w:szCs w:val="32"/>
        </w:rPr>
        <w:t>万元，占比</w:t>
      </w:r>
      <w:r>
        <w:rPr>
          <w:rFonts w:ascii="仿宋_GB2312" w:hAnsi="宋体" w:eastAsia="仿宋_GB2312"/>
          <w:kern w:val="0"/>
          <w:sz w:val="32"/>
          <w:szCs w:val="32"/>
        </w:rPr>
        <w:t>4.71%</w:t>
      </w:r>
      <w:r>
        <w:rPr>
          <w:rFonts w:hint="eastAsia" w:ascii="仿宋_GB2312" w:hAnsi="宋体" w:eastAsia="仿宋_GB2312"/>
          <w:kern w:val="0"/>
          <w:sz w:val="32"/>
          <w:szCs w:val="32"/>
        </w:rPr>
        <w:t>；卫生健康支出</w:t>
      </w:r>
      <w:r>
        <w:rPr>
          <w:rFonts w:ascii="仿宋_GB2312" w:hAnsi="宋体" w:eastAsia="仿宋_GB2312"/>
          <w:kern w:val="0"/>
          <w:sz w:val="32"/>
          <w:szCs w:val="32"/>
        </w:rPr>
        <w:t>73.7</w:t>
      </w:r>
      <w:r>
        <w:rPr>
          <w:rFonts w:hint="eastAsia" w:ascii="仿宋_GB2312" w:hAnsi="宋体" w:eastAsia="仿宋_GB2312"/>
          <w:kern w:val="0"/>
          <w:sz w:val="32"/>
          <w:szCs w:val="32"/>
        </w:rPr>
        <w:t>万元，占比</w:t>
      </w:r>
      <w:r>
        <w:rPr>
          <w:rFonts w:ascii="仿宋_GB2312" w:hAnsi="宋体" w:eastAsia="仿宋_GB2312"/>
          <w:kern w:val="0"/>
          <w:sz w:val="32"/>
          <w:szCs w:val="32"/>
        </w:rPr>
        <w:t>3.63%</w:t>
      </w:r>
      <w:r>
        <w:rPr>
          <w:rFonts w:hint="eastAsia" w:ascii="仿宋_GB2312" w:hAnsi="宋体" w:eastAsia="仿宋_GB2312"/>
          <w:kern w:val="0"/>
          <w:sz w:val="32"/>
          <w:szCs w:val="32"/>
        </w:rPr>
        <w:t>；住房保障支出</w:t>
      </w:r>
      <w:r>
        <w:rPr>
          <w:rFonts w:ascii="仿宋_GB2312" w:hAnsi="宋体" w:eastAsia="仿宋_GB2312"/>
          <w:kern w:val="0"/>
          <w:sz w:val="32"/>
          <w:szCs w:val="32"/>
        </w:rPr>
        <w:t>103.44</w:t>
      </w:r>
      <w:r>
        <w:rPr>
          <w:rFonts w:hint="eastAsia" w:ascii="仿宋_GB2312" w:hAnsi="宋体" w:eastAsia="仿宋_GB2312"/>
          <w:kern w:val="0"/>
          <w:sz w:val="32"/>
          <w:szCs w:val="32"/>
        </w:rPr>
        <w:t>万元，占比</w:t>
      </w:r>
      <w:r>
        <w:rPr>
          <w:rFonts w:ascii="仿宋_GB2312" w:hAnsi="宋体" w:eastAsia="仿宋_GB2312"/>
          <w:kern w:val="0"/>
          <w:sz w:val="32"/>
          <w:szCs w:val="32"/>
        </w:rPr>
        <w:t>5.09%</w:t>
      </w:r>
      <w:r>
        <w:rPr>
          <w:rFonts w:hint="eastAsia" w:ascii="仿宋_GB2312" w:hAnsi="宋体" w:eastAsia="仿宋_GB2312"/>
          <w:kern w:val="0"/>
          <w:sz w:val="32"/>
          <w:szCs w:val="32"/>
        </w:rPr>
        <w:t>。</w:t>
      </w:r>
    </w:p>
    <w:p>
      <w:pPr>
        <w:pStyle w:val="13"/>
        <w:spacing w:before="0" w:beforeAutospacing="0" w:after="0" w:afterAutospacing="0" w:line="560" w:lineRule="exact"/>
        <w:ind w:firstLine="640" w:firstLineChars="200"/>
        <w:rPr>
          <w:rStyle w:val="15"/>
          <w:rFonts w:ascii="楷体_GB2312" w:hAnsi="楷体" w:eastAsia="楷体_GB2312" w:cs="楷体"/>
          <w:b w:val="0"/>
          <w:color w:val="FF0000"/>
          <w:shd w:val="clear" w:color="auto" w:fill="FFFFFF"/>
        </w:rPr>
      </w:pPr>
      <w:r>
        <w:rPr>
          <w:rStyle w:val="15"/>
          <w:rFonts w:hint="eastAsia" w:ascii="楷体_GB2312" w:hAnsi="楷体" w:eastAsia="楷体_GB2312" w:cs="楷体"/>
          <w:b w:val="0"/>
          <w:sz w:val="32"/>
          <w:szCs w:val="32"/>
          <w:shd w:val="clear" w:color="auto" w:fill="FFFFFF"/>
        </w:rPr>
        <w:t>（三）财政拨款支出决算具体情况</w:t>
      </w:r>
    </w:p>
    <w:p>
      <w:pPr>
        <w:spacing w:line="560" w:lineRule="exact"/>
        <w:ind w:firstLine="640" w:firstLineChars="200"/>
        <w:jc w:val="left"/>
        <w:rPr>
          <w:rFonts w:ascii="仿宋_GB2312" w:hAnsi="宋体" w:eastAsia="仿宋_GB2312"/>
          <w:kern w:val="0"/>
          <w:sz w:val="24"/>
          <w:szCs w:val="24"/>
        </w:rPr>
      </w:pPr>
      <w:r>
        <w:rPr>
          <w:rFonts w:ascii="仿宋_GB2312" w:hAnsi="宋体" w:eastAsia="仿宋_GB2312"/>
          <w:kern w:val="0"/>
          <w:sz w:val="32"/>
          <w:szCs w:val="32"/>
        </w:rPr>
        <w:t>2020</w:t>
      </w:r>
      <w:r>
        <w:rPr>
          <w:rFonts w:hint="eastAsia" w:ascii="仿宋_GB2312" w:hAnsi="宋体" w:eastAsia="仿宋_GB2312"/>
          <w:kern w:val="0"/>
          <w:sz w:val="32"/>
          <w:szCs w:val="32"/>
        </w:rPr>
        <w:t>年度财政拨款支出年初预算数为</w:t>
      </w:r>
      <w:r>
        <w:rPr>
          <w:rFonts w:ascii="仿宋_GB2312" w:hAnsi="宋体" w:eastAsia="仿宋_GB2312"/>
          <w:kern w:val="0"/>
          <w:sz w:val="32"/>
          <w:szCs w:val="32"/>
        </w:rPr>
        <w:t>1673.86</w:t>
      </w:r>
      <w:r>
        <w:rPr>
          <w:rFonts w:hint="eastAsia" w:ascii="仿宋_GB2312" w:hAnsi="宋体" w:eastAsia="仿宋_GB2312"/>
          <w:kern w:val="0"/>
          <w:sz w:val="32"/>
          <w:szCs w:val="32"/>
        </w:rPr>
        <w:t>万元，支出决算数为</w:t>
      </w:r>
      <w:r>
        <w:rPr>
          <w:rFonts w:ascii="仿宋_GB2312" w:hAnsi="宋体" w:eastAsia="仿宋_GB2312" w:cs="Times New Roman"/>
          <w:kern w:val="0"/>
          <w:sz w:val="32"/>
          <w:szCs w:val="32"/>
        </w:rPr>
        <w:t>202</w:t>
      </w:r>
      <w:r>
        <w:rPr>
          <w:rFonts w:ascii="仿宋_GB2312" w:hAnsi="宋体" w:eastAsia="仿宋_GB2312"/>
          <w:kern w:val="0"/>
          <w:sz w:val="32"/>
          <w:szCs w:val="32"/>
        </w:rPr>
        <w:t>9.03</w:t>
      </w:r>
      <w:r>
        <w:rPr>
          <w:rFonts w:hint="eastAsia" w:ascii="仿宋_GB2312" w:hAnsi="宋体" w:eastAsia="仿宋_GB2312"/>
          <w:kern w:val="0"/>
          <w:sz w:val="32"/>
          <w:szCs w:val="32"/>
        </w:rPr>
        <w:t>万元，完成年初预算的</w:t>
      </w:r>
      <w:r>
        <w:rPr>
          <w:rFonts w:ascii="仿宋_GB2312" w:hAnsi="宋体" w:eastAsia="仿宋_GB2312"/>
          <w:kern w:val="0"/>
          <w:sz w:val="32"/>
          <w:szCs w:val="32"/>
        </w:rPr>
        <w:t>121.22%</w:t>
      </w:r>
      <w:r>
        <w:rPr>
          <w:rFonts w:hint="eastAsia" w:ascii="仿宋_GB2312" w:hAnsi="宋体" w:eastAsia="仿宋_GB2312"/>
          <w:kern w:val="0"/>
          <w:sz w:val="32"/>
          <w:szCs w:val="32"/>
        </w:rPr>
        <w:t>，其中：</w:t>
      </w:r>
      <w:r>
        <w:rPr>
          <w:rFonts w:ascii="仿宋_GB2312" w:hAnsi="宋体" w:eastAsia="仿宋_GB2312"/>
          <w:kern w:val="0"/>
          <w:sz w:val="24"/>
          <w:szCs w:val="24"/>
        </w:rPr>
        <w:t xml:space="preserve"> </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1</w:t>
      </w:r>
      <w:r>
        <w:rPr>
          <w:rFonts w:hint="eastAsia" w:ascii="仿宋_GB2312" w:eastAsia="仿宋_GB2312" w:cs="宋体"/>
          <w:sz w:val="32"/>
          <w:szCs w:val="32"/>
        </w:rPr>
        <w:t>、公共安全</w:t>
      </w:r>
      <w:r>
        <w:rPr>
          <w:rFonts w:ascii="仿宋_GB2312" w:eastAsia="仿宋_GB2312" w:cs="宋体"/>
          <w:sz w:val="32"/>
          <w:szCs w:val="32"/>
        </w:rPr>
        <w:t>-</w:t>
      </w:r>
      <w:r>
        <w:rPr>
          <w:rFonts w:hint="eastAsia" w:ascii="仿宋_GB2312" w:eastAsia="仿宋_GB2312" w:cs="宋体"/>
          <w:sz w:val="32"/>
          <w:szCs w:val="32"/>
        </w:rPr>
        <w:t>检察</w:t>
      </w:r>
      <w:r>
        <w:rPr>
          <w:rFonts w:ascii="仿宋_GB2312" w:eastAsia="仿宋_GB2312" w:cs="宋体"/>
          <w:sz w:val="32"/>
          <w:szCs w:val="32"/>
        </w:rPr>
        <w:t>-</w:t>
      </w:r>
      <w:r>
        <w:rPr>
          <w:rFonts w:hint="eastAsia" w:ascii="仿宋_GB2312" w:eastAsia="仿宋_GB2312" w:cs="宋体"/>
          <w:sz w:val="32"/>
          <w:szCs w:val="32"/>
        </w:rPr>
        <w:t>行政运行支出年初预算</w:t>
      </w:r>
      <w:r>
        <w:rPr>
          <w:rFonts w:ascii="仿宋_GB2312" w:eastAsia="仿宋_GB2312" w:cs="宋体"/>
          <w:sz w:val="32"/>
          <w:szCs w:val="32"/>
        </w:rPr>
        <w:t>1376.14</w:t>
      </w:r>
      <w:r>
        <w:rPr>
          <w:rFonts w:hint="eastAsia" w:ascii="仿宋_GB2312" w:eastAsia="仿宋_GB2312" w:cs="宋体"/>
          <w:sz w:val="32"/>
          <w:szCs w:val="32"/>
        </w:rPr>
        <w:t>万元，决算数</w:t>
      </w:r>
      <w:r>
        <w:rPr>
          <w:rFonts w:ascii="仿宋_GB2312" w:eastAsia="仿宋_GB2312" w:cs="宋体"/>
          <w:sz w:val="32"/>
          <w:szCs w:val="32"/>
        </w:rPr>
        <w:t>1363.9</w:t>
      </w:r>
      <w:r>
        <w:rPr>
          <w:rFonts w:hint="eastAsia" w:ascii="仿宋_GB2312" w:eastAsia="仿宋_GB2312" w:cs="宋体"/>
          <w:sz w:val="32"/>
          <w:szCs w:val="32"/>
        </w:rPr>
        <w:t>万元，完成年初预算的</w:t>
      </w:r>
      <w:r>
        <w:rPr>
          <w:rFonts w:ascii="仿宋_GB2312" w:eastAsia="仿宋_GB2312" w:cs="宋体"/>
          <w:sz w:val="32"/>
          <w:szCs w:val="32"/>
        </w:rPr>
        <w:t>99.11%</w:t>
      </w:r>
      <w:r>
        <w:rPr>
          <w:rFonts w:hint="eastAsia" w:ascii="仿宋_GB2312" w:eastAsia="仿宋_GB2312" w:cs="宋体"/>
          <w:sz w:val="32"/>
          <w:szCs w:val="32"/>
        </w:rPr>
        <w:t>。决算数</w:t>
      </w:r>
      <w:r>
        <w:rPr>
          <w:rFonts w:hint="eastAsia" w:ascii="仿宋_GB2312" w:eastAsia="仿宋_GB2312" w:cs="宋体"/>
          <w:sz w:val="32"/>
          <w:szCs w:val="32"/>
          <w:lang w:eastAsia="zh-CN"/>
        </w:rPr>
        <w:t>略小于</w:t>
      </w:r>
      <w:r>
        <w:rPr>
          <w:rFonts w:hint="eastAsia" w:ascii="仿宋_GB2312" w:eastAsia="仿宋_GB2312" w:cs="宋体"/>
          <w:sz w:val="32"/>
          <w:szCs w:val="32"/>
        </w:rPr>
        <w:t>年初预算数的主要原因是支出</w:t>
      </w:r>
      <w:r>
        <w:rPr>
          <w:rFonts w:hint="eastAsia" w:ascii="仿宋_GB2312" w:eastAsia="仿宋_GB2312" w:cs="宋体"/>
          <w:sz w:val="32"/>
          <w:szCs w:val="32"/>
          <w:lang w:eastAsia="zh-CN"/>
        </w:rPr>
        <w:t>略微减少</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2</w:t>
      </w:r>
      <w:r>
        <w:rPr>
          <w:rFonts w:hint="eastAsia" w:ascii="仿宋_GB2312" w:eastAsia="仿宋_GB2312" w:cs="宋体"/>
          <w:sz w:val="32"/>
          <w:szCs w:val="32"/>
        </w:rPr>
        <w:t>、公共安全</w:t>
      </w:r>
      <w:r>
        <w:rPr>
          <w:rFonts w:ascii="仿宋_GB2312" w:eastAsia="仿宋_GB2312" w:cs="宋体"/>
          <w:sz w:val="32"/>
          <w:szCs w:val="32"/>
        </w:rPr>
        <w:t>-</w:t>
      </w:r>
      <w:r>
        <w:rPr>
          <w:rFonts w:hint="eastAsia" w:ascii="仿宋_GB2312" w:eastAsia="仿宋_GB2312" w:cs="宋体"/>
          <w:sz w:val="32"/>
          <w:szCs w:val="32"/>
        </w:rPr>
        <w:t>检察</w:t>
      </w:r>
      <w:r>
        <w:rPr>
          <w:rFonts w:ascii="仿宋_GB2312" w:eastAsia="仿宋_GB2312" w:cs="宋体"/>
          <w:sz w:val="32"/>
          <w:szCs w:val="32"/>
        </w:rPr>
        <w:t>-</w:t>
      </w:r>
      <w:r>
        <w:rPr>
          <w:rFonts w:hint="eastAsia" w:ascii="仿宋_GB2312" w:eastAsia="仿宋_GB2312" w:cs="宋体"/>
          <w:sz w:val="32"/>
          <w:szCs w:val="32"/>
        </w:rPr>
        <w:t>一般行政管理事务支出年初预算</w:t>
      </w:r>
      <w:r>
        <w:rPr>
          <w:rFonts w:ascii="仿宋_GB2312" w:eastAsia="仿宋_GB2312" w:cs="宋体"/>
          <w:sz w:val="32"/>
          <w:szCs w:val="32"/>
        </w:rPr>
        <w:t>25</w:t>
      </w:r>
      <w:r>
        <w:rPr>
          <w:rFonts w:hint="eastAsia" w:ascii="仿宋_GB2312" w:eastAsia="仿宋_GB2312" w:cs="宋体"/>
          <w:sz w:val="32"/>
          <w:szCs w:val="32"/>
        </w:rPr>
        <w:t>万元，决算数</w:t>
      </w:r>
      <w:r>
        <w:rPr>
          <w:rFonts w:ascii="仿宋_GB2312" w:eastAsia="仿宋_GB2312" w:cs="宋体"/>
          <w:sz w:val="32"/>
          <w:szCs w:val="32"/>
        </w:rPr>
        <w:t>381.4</w:t>
      </w:r>
      <w:r>
        <w:rPr>
          <w:rFonts w:hint="eastAsia" w:ascii="仿宋_GB2312" w:eastAsia="仿宋_GB2312" w:cs="宋体"/>
          <w:sz w:val="32"/>
          <w:szCs w:val="32"/>
        </w:rPr>
        <w:t>万元，完成年初预算的</w:t>
      </w:r>
      <w:r>
        <w:rPr>
          <w:rFonts w:ascii="仿宋_GB2312" w:eastAsia="仿宋_GB2312" w:cs="宋体"/>
          <w:sz w:val="32"/>
          <w:szCs w:val="32"/>
        </w:rPr>
        <w:t>207.18%</w:t>
      </w:r>
      <w:r>
        <w:rPr>
          <w:rFonts w:hint="eastAsia" w:ascii="仿宋_GB2312" w:eastAsia="仿宋_GB2312" w:cs="宋体"/>
          <w:sz w:val="32"/>
          <w:szCs w:val="32"/>
        </w:rPr>
        <w:t>。决算数大于年初预算数的主要原因是：因办公办案工作需要办案经费、办公设备购置和项目经费</w:t>
      </w:r>
      <w:r>
        <w:rPr>
          <w:rFonts w:hint="eastAsia" w:ascii="仿宋_GB2312" w:eastAsia="仿宋_GB2312" w:cs="宋体"/>
          <w:sz w:val="32"/>
          <w:szCs w:val="32"/>
          <w:lang w:eastAsia="zh-CN"/>
        </w:rPr>
        <w:t>增加</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3</w:t>
      </w:r>
      <w:r>
        <w:rPr>
          <w:rFonts w:hint="eastAsia" w:ascii="仿宋_GB2312" w:eastAsia="仿宋_GB2312" w:cs="宋体"/>
          <w:sz w:val="32"/>
          <w:szCs w:val="32"/>
        </w:rPr>
        <w:t>、公共安全</w:t>
      </w:r>
      <w:r>
        <w:rPr>
          <w:rFonts w:ascii="仿宋_GB2312" w:eastAsia="仿宋_GB2312" w:cs="宋体"/>
          <w:sz w:val="32"/>
          <w:szCs w:val="32"/>
        </w:rPr>
        <w:t>-</w:t>
      </w:r>
      <w:r>
        <w:rPr>
          <w:rFonts w:hint="eastAsia" w:ascii="仿宋_GB2312" w:eastAsia="仿宋_GB2312" w:cs="宋体"/>
          <w:sz w:val="32"/>
          <w:szCs w:val="32"/>
        </w:rPr>
        <w:t>检察</w:t>
      </w:r>
      <w:r>
        <w:rPr>
          <w:rFonts w:ascii="仿宋_GB2312" w:eastAsia="仿宋_GB2312" w:cs="宋体"/>
          <w:sz w:val="32"/>
          <w:szCs w:val="32"/>
        </w:rPr>
        <w:t>-</w:t>
      </w:r>
      <w:r>
        <w:rPr>
          <w:rFonts w:hint="eastAsia" w:ascii="仿宋_GB2312" w:eastAsia="仿宋_GB2312" w:cs="宋体"/>
          <w:sz w:val="32"/>
          <w:szCs w:val="32"/>
        </w:rPr>
        <w:t>检察监督支出年初预算为</w:t>
      </w:r>
      <w:r>
        <w:rPr>
          <w:rFonts w:ascii="仿宋_GB2312" w:eastAsia="仿宋_GB2312" w:cs="宋体"/>
          <w:sz w:val="32"/>
          <w:szCs w:val="32"/>
        </w:rPr>
        <w:t>0</w:t>
      </w:r>
      <w:r>
        <w:rPr>
          <w:rFonts w:hint="eastAsia" w:ascii="仿宋_GB2312" w:eastAsia="仿宋_GB2312" w:cs="宋体"/>
          <w:sz w:val="32"/>
          <w:szCs w:val="32"/>
        </w:rPr>
        <w:t>万元，决算支出数</w:t>
      </w:r>
      <w:r>
        <w:rPr>
          <w:rFonts w:ascii="仿宋_GB2312" w:eastAsia="仿宋_GB2312" w:cs="宋体"/>
          <w:sz w:val="32"/>
          <w:szCs w:val="32"/>
        </w:rPr>
        <w:t>11</w:t>
      </w:r>
      <w:r>
        <w:rPr>
          <w:rFonts w:hint="eastAsia" w:ascii="仿宋_GB2312" w:eastAsia="仿宋_GB2312" w:cs="宋体"/>
          <w:sz w:val="32"/>
          <w:szCs w:val="32"/>
        </w:rPr>
        <w:t>万元。决算数大于年初预算数的主要原因是检察监督办案工作不可预计性较大。</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4</w:t>
      </w:r>
      <w:r>
        <w:rPr>
          <w:rFonts w:hint="eastAsia" w:ascii="仿宋_GB2312" w:eastAsia="仿宋_GB2312" w:cs="宋体"/>
          <w:sz w:val="32"/>
          <w:szCs w:val="32"/>
        </w:rPr>
        <w:t>、社会保障和就业支出</w:t>
      </w:r>
      <w:r>
        <w:rPr>
          <w:rFonts w:ascii="仿宋_GB2312" w:eastAsia="仿宋_GB2312" w:cs="宋体"/>
          <w:sz w:val="32"/>
          <w:szCs w:val="32"/>
        </w:rPr>
        <w:t>-</w:t>
      </w:r>
      <w:r>
        <w:rPr>
          <w:rFonts w:hint="eastAsia" w:ascii="仿宋_GB2312" w:eastAsia="仿宋_GB2312" w:cs="宋体"/>
          <w:sz w:val="32"/>
          <w:szCs w:val="32"/>
        </w:rPr>
        <w:t>行政事业单位养老支出</w:t>
      </w:r>
      <w:r>
        <w:rPr>
          <w:rFonts w:ascii="仿宋_GB2312" w:eastAsia="仿宋_GB2312" w:cs="宋体"/>
          <w:sz w:val="32"/>
          <w:szCs w:val="32"/>
        </w:rPr>
        <w:t>-</w:t>
      </w:r>
      <w:r>
        <w:rPr>
          <w:rFonts w:hint="eastAsia" w:ascii="仿宋_GB2312" w:eastAsia="仿宋_GB2312" w:cs="宋体"/>
          <w:sz w:val="32"/>
          <w:szCs w:val="32"/>
        </w:rPr>
        <w:t>机关事业单位基本养老保险缴费支出年初预算</w:t>
      </w:r>
      <w:r>
        <w:rPr>
          <w:rFonts w:ascii="仿宋_GB2312" w:eastAsia="仿宋_GB2312" w:cs="宋体"/>
          <w:sz w:val="32"/>
          <w:szCs w:val="32"/>
        </w:rPr>
        <w:t>89.28</w:t>
      </w:r>
      <w:r>
        <w:rPr>
          <w:rFonts w:hint="eastAsia" w:ascii="仿宋_GB2312" w:eastAsia="仿宋_GB2312" w:cs="宋体"/>
          <w:sz w:val="32"/>
          <w:szCs w:val="32"/>
        </w:rPr>
        <w:t>万元，决算数</w:t>
      </w:r>
      <w:r>
        <w:rPr>
          <w:rFonts w:ascii="仿宋_GB2312" w:eastAsia="仿宋_GB2312" w:cs="宋体"/>
          <w:sz w:val="32"/>
          <w:szCs w:val="32"/>
        </w:rPr>
        <w:t>89.28</w:t>
      </w:r>
      <w:r>
        <w:rPr>
          <w:rFonts w:hint="eastAsia" w:ascii="仿宋_GB2312" w:eastAsia="仿宋_GB2312" w:cs="宋体"/>
          <w:sz w:val="32"/>
          <w:szCs w:val="32"/>
        </w:rPr>
        <w:t>万元，完成年初预算的</w:t>
      </w:r>
      <w:r>
        <w:rPr>
          <w:rFonts w:ascii="仿宋_GB2312" w:eastAsia="仿宋_GB2312" w:cs="宋体"/>
          <w:sz w:val="32"/>
          <w:szCs w:val="32"/>
        </w:rPr>
        <w:t>100%</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5</w:t>
      </w:r>
      <w:r>
        <w:rPr>
          <w:rFonts w:hint="eastAsia" w:ascii="仿宋_GB2312" w:eastAsia="仿宋_GB2312" w:cs="宋体"/>
          <w:sz w:val="32"/>
          <w:szCs w:val="32"/>
        </w:rPr>
        <w:t>、社会保障和就业支出</w:t>
      </w:r>
      <w:r>
        <w:rPr>
          <w:rFonts w:ascii="仿宋_GB2312" w:eastAsia="仿宋_GB2312" w:cs="宋体"/>
          <w:sz w:val="32"/>
          <w:szCs w:val="32"/>
        </w:rPr>
        <w:t>-</w:t>
      </w:r>
      <w:r>
        <w:rPr>
          <w:rFonts w:hint="eastAsia" w:ascii="仿宋_GB2312" w:eastAsia="仿宋_GB2312" w:cs="宋体"/>
          <w:sz w:val="32"/>
          <w:szCs w:val="32"/>
        </w:rPr>
        <w:t>其他社会保障和就业支出</w:t>
      </w:r>
      <w:r>
        <w:rPr>
          <w:rFonts w:ascii="仿宋_GB2312" w:eastAsia="仿宋_GB2312" w:cs="宋体"/>
          <w:sz w:val="32"/>
          <w:szCs w:val="32"/>
        </w:rPr>
        <w:t>-</w:t>
      </w:r>
      <w:r>
        <w:rPr>
          <w:rFonts w:hint="eastAsia" w:ascii="仿宋_GB2312" w:eastAsia="仿宋_GB2312" w:cs="宋体"/>
          <w:sz w:val="32"/>
          <w:szCs w:val="32"/>
        </w:rPr>
        <w:t>其他社会保障和就业支出年初预算</w:t>
      </w:r>
      <w:r>
        <w:rPr>
          <w:rFonts w:ascii="仿宋_GB2312" w:eastAsia="仿宋_GB2312" w:cs="宋体"/>
          <w:sz w:val="32"/>
          <w:szCs w:val="32"/>
        </w:rPr>
        <w:t>6.3</w:t>
      </w:r>
      <w:r>
        <w:rPr>
          <w:rFonts w:hint="eastAsia" w:ascii="仿宋_GB2312" w:eastAsia="仿宋_GB2312" w:cs="宋体"/>
          <w:sz w:val="32"/>
          <w:szCs w:val="32"/>
        </w:rPr>
        <w:t>万元，决算数</w:t>
      </w:r>
      <w:r>
        <w:rPr>
          <w:rFonts w:ascii="仿宋_GB2312" w:eastAsia="仿宋_GB2312" w:cs="宋体"/>
          <w:sz w:val="32"/>
          <w:szCs w:val="32"/>
        </w:rPr>
        <w:t>6.3</w:t>
      </w:r>
      <w:r>
        <w:rPr>
          <w:rFonts w:hint="eastAsia" w:ascii="仿宋_GB2312" w:eastAsia="仿宋_GB2312" w:cs="宋体"/>
          <w:sz w:val="32"/>
          <w:szCs w:val="32"/>
        </w:rPr>
        <w:t>万元，完成年初预算的</w:t>
      </w:r>
      <w:r>
        <w:rPr>
          <w:rFonts w:ascii="仿宋_GB2312" w:eastAsia="仿宋_GB2312" w:cs="宋体"/>
          <w:sz w:val="32"/>
          <w:szCs w:val="32"/>
        </w:rPr>
        <w:t>100%</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6</w:t>
      </w:r>
      <w:r>
        <w:rPr>
          <w:rFonts w:hint="eastAsia" w:ascii="仿宋_GB2312" w:eastAsia="仿宋_GB2312" w:cs="宋体"/>
          <w:sz w:val="32"/>
          <w:szCs w:val="32"/>
        </w:rPr>
        <w:t>、卫生健康支出</w:t>
      </w:r>
      <w:r>
        <w:rPr>
          <w:rFonts w:ascii="仿宋_GB2312" w:eastAsia="仿宋_GB2312" w:cs="宋体"/>
          <w:sz w:val="32"/>
          <w:szCs w:val="32"/>
        </w:rPr>
        <w:t>-</w:t>
      </w:r>
      <w:r>
        <w:rPr>
          <w:rFonts w:hint="eastAsia" w:ascii="仿宋_GB2312" w:eastAsia="仿宋_GB2312" w:cs="宋体"/>
          <w:sz w:val="32"/>
          <w:szCs w:val="32"/>
        </w:rPr>
        <w:t>行政事业单位医疗</w:t>
      </w:r>
      <w:r>
        <w:rPr>
          <w:rFonts w:ascii="仿宋_GB2312" w:eastAsia="仿宋_GB2312" w:cs="宋体"/>
          <w:sz w:val="32"/>
          <w:szCs w:val="32"/>
        </w:rPr>
        <w:t>-</w:t>
      </w:r>
      <w:r>
        <w:rPr>
          <w:rFonts w:hint="eastAsia" w:ascii="仿宋_GB2312" w:eastAsia="仿宋_GB2312" w:cs="宋体"/>
          <w:sz w:val="32"/>
          <w:szCs w:val="32"/>
        </w:rPr>
        <w:t>行政单位医疗支出年初预算</w:t>
      </w:r>
      <w:r>
        <w:rPr>
          <w:rFonts w:ascii="仿宋_GB2312" w:eastAsia="仿宋_GB2312" w:cs="宋体"/>
          <w:sz w:val="32"/>
          <w:szCs w:val="32"/>
        </w:rPr>
        <w:t>44.64</w:t>
      </w:r>
      <w:r>
        <w:rPr>
          <w:rFonts w:hint="eastAsia" w:ascii="仿宋_GB2312" w:eastAsia="仿宋_GB2312" w:cs="宋体"/>
          <w:sz w:val="32"/>
          <w:szCs w:val="32"/>
        </w:rPr>
        <w:t>万元，决算数</w:t>
      </w:r>
      <w:r>
        <w:rPr>
          <w:rFonts w:ascii="仿宋_GB2312" w:eastAsia="仿宋_GB2312" w:cs="宋体"/>
          <w:sz w:val="32"/>
          <w:szCs w:val="32"/>
        </w:rPr>
        <w:t>44.64</w:t>
      </w:r>
      <w:r>
        <w:rPr>
          <w:rFonts w:hint="eastAsia" w:ascii="仿宋_GB2312" w:eastAsia="仿宋_GB2312" w:cs="宋体"/>
          <w:sz w:val="32"/>
          <w:szCs w:val="32"/>
        </w:rPr>
        <w:t>万元，完成年初预算的</w:t>
      </w:r>
      <w:r>
        <w:rPr>
          <w:rFonts w:ascii="仿宋_GB2312" w:eastAsia="仿宋_GB2312" w:cs="宋体"/>
          <w:sz w:val="32"/>
          <w:szCs w:val="32"/>
        </w:rPr>
        <w:t>100%</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7</w:t>
      </w:r>
      <w:r>
        <w:rPr>
          <w:rFonts w:hint="eastAsia" w:ascii="仿宋_GB2312" w:eastAsia="仿宋_GB2312" w:cs="宋体"/>
          <w:sz w:val="32"/>
          <w:szCs w:val="32"/>
        </w:rPr>
        <w:t>、卫生健康支出</w:t>
      </w:r>
      <w:r>
        <w:rPr>
          <w:rFonts w:ascii="仿宋_GB2312" w:eastAsia="仿宋_GB2312" w:cs="宋体"/>
          <w:sz w:val="32"/>
          <w:szCs w:val="32"/>
        </w:rPr>
        <w:t>-</w:t>
      </w:r>
      <w:r>
        <w:rPr>
          <w:rFonts w:hint="eastAsia" w:ascii="仿宋_GB2312" w:eastAsia="仿宋_GB2312" w:cs="宋体"/>
          <w:sz w:val="32"/>
          <w:szCs w:val="32"/>
        </w:rPr>
        <w:t>行政事业单位医疗</w:t>
      </w:r>
      <w:r>
        <w:rPr>
          <w:rFonts w:ascii="仿宋_GB2312" w:eastAsia="仿宋_GB2312" w:cs="宋体"/>
          <w:sz w:val="32"/>
          <w:szCs w:val="32"/>
        </w:rPr>
        <w:t>-</w:t>
      </w:r>
      <w:r>
        <w:rPr>
          <w:rFonts w:hint="eastAsia" w:ascii="仿宋_GB2312" w:eastAsia="仿宋_GB2312" w:cs="宋体"/>
          <w:sz w:val="32"/>
          <w:szCs w:val="32"/>
        </w:rPr>
        <w:t>公务员医疗补助支出年初预算</w:t>
      </w:r>
      <w:r>
        <w:rPr>
          <w:rFonts w:ascii="仿宋_GB2312" w:eastAsia="仿宋_GB2312" w:cs="宋体"/>
          <w:sz w:val="32"/>
          <w:szCs w:val="32"/>
        </w:rPr>
        <w:t>29.06</w:t>
      </w:r>
      <w:r>
        <w:rPr>
          <w:rFonts w:hint="eastAsia" w:ascii="仿宋_GB2312" w:eastAsia="仿宋_GB2312" w:cs="宋体"/>
          <w:sz w:val="32"/>
          <w:szCs w:val="32"/>
        </w:rPr>
        <w:t>万元，决算数</w:t>
      </w:r>
      <w:r>
        <w:rPr>
          <w:rFonts w:ascii="仿宋_GB2312" w:eastAsia="仿宋_GB2312" w:cs="宋体"/>
          <w:sz w:val="32"/>
          <w:szCs w:val="32"/>
        </w:rPr>
        <w:t>29.06</w:t>
      </w:r>
      <w:r>
        <w:rPr>
          <w:rFonts w:hint="eastAsia" w:ascii="仿宋_GB2312" w:eastAsia="仿宋_GB2312" w:cs="宋体"/>
          <w:sz w:val="32"/>
          <w:szCs w:val="32"/>
        </w:rPr>
        <w:t>万元，完成年初预算的</w:t>
      </w:r>
      <w:r>
        <w:rPr>
          <w:rFonts w:ascii="仿宋_GB2312" w:eastAsia="仿宋_GB2312" w:cs="宋体"/>
          <w:sz w:val="32"/>
          <w:szCs w:val="32"/>
        </w:rPr>
        <w:t>100%</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ascii="仿宋_GB2312" w:eastAsia="仿宋_GB2312" w:cs="宋体"/>
          <w:sz w:val="32"/>
          <w:szCs w:val="32"/>
        </w:rPr>
        <w:t>8</w:t>
      </w:r>
      <w:r>
        <w:rPr>
          <w:rFonts w:hint="eastAsia" w:ascii="仿宋_GB2312" w:eastAsia="仿宋_GB2312" w:cs="宋体"/>
          <w:sz w:val="32"/>
          <w:szCs w:val="32"/>
        </w:rPr>
        <w:t>、住房保障支出</w:t>
      </w:r>
      <w:r>
        <w:rPr>
          <w:rFonts w:ascii="仿宋_GB2312" w:eastAsia="仿宋_GB2312" w:cs="宋体"/>
          <w:sz w:val="32"/>
          <w:szCs w:val="32"/>
        </w:rPr>
        <w:t>-</w:t>
      </w:r>
      <w:r>
        <w:rPr>
          <w:rFonts w:hint="eastAsia" w:ascii="仿宋_GB2312" w:eastAsia="仿宋_GB2312" w:cs="宋体"/>
          <w:sz w:val="32"/>
          <w:szCs w:val="32"/>
        </w:rPr>
        <w:t>住房改革支出</w:t>
      </w:r>
      <w:r>
        <w:rPr>
          <w:rFonts w:ascii="仿宋_GB2312" w:eastAsia="仿宋_GB2312" w:cs="宋体"/>
          <w:sz w:val="32"/>
          <w:szCs w:val="32"/>
        </w:rPr>
        <w:t>-</w:t>
      </w:r>
      <w:r>
        <w:rPr>
          <w:rFonts w:hint="eastAsia" w:ascii="仿宋_GB2312" w:eastAsia="仿宋_GB2312" w:cs="宋体"/>
          <w:sz w:val="32"/>
          <w:szCs w:val="32"/>
        </w:rPr>
        <w:t>住房公积金支出年初预算</w:t>
      </w:r>
      <w:r>
        <w:rPr>
          <w:rFonts w:ascii="仿宋_GB2312" w:eastAsia="仿宋_GB2312" w:cs="宋体"/>
          <w:sz w:val="32"/>
          <w:szCs w:val="32"/>
        </w:rPr>
        <w:t>103.44</w:t>
      </w:r>
      <w:r>
        <w:rPr>
          <w:rFonts w:hint="eastAsia" w:ascii="仿宋_GB2312" w:eastAsia="仿宋_GB2312" w:cs="宋体"/>
          <w:sz w:val="32"/>
          <w:szCs w:val="32"/>
        </w:rPr>
        <w:t>万元，决算数</w:t>
      </w:r>
      <w:r>
        <w:rPr>
          <w:rFonts w:ascii="仿宋_GB2312" w:eastAsia="仿宋_GB2312" w:cs="宋体"/>
          <w:sz w:val="32"/>
          <w:szCs w:val="32"/>
        </w:rPr>
        <w:t>103.44</w:t>
      </w:r>
      <w:r>
        <w:rPr>
          <w:rFonts w:hint="eastAsia" w:ascii="仿宋_GB2312" w:eastAsia="仿宋_GB2312" w:cs="宋体"/>
          <w:sz w:val="32"/>
          <w:szCs w:val="32"/>
        </w:rPr>
        <w:t>万元，完成年初预算的</w:t>
      </w:r>
      <w:r>
        <w:rPr>
          <w:rFonts w:ascii="仿宋_GB2312" w:eastAsia="仿宋_GB2312" w:cs="宋体"/>
          <w:sz w:val="32"/>
          <w:szCs w:val="32"/>
        </w:rPr>
        <w:t>100%</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z w:val="32"/>
          <w:szCs w:val="32"/>
          <w:shd w:val="clear" w:color="auto" w:fill="FFFFFF"/>
        </w:rPr>
      </w:pPr>
      <w:bookmarkStart w:id="25" w:name="_Toc2717"/>
      <w:bookmarkStart w:id="26" w:name="_Toc3790"/>
      <w:r>
        <w:rPr>
          <w:rStyle w:val="15"/>
          <w:rFonts w:hint="eastAsia" w:ascii="楷体_GB2312" w:hAnsi="楷体" w:eastAsia="楷体_GB2312" w:cs="楷体"/>
          <w:b w:val="0"/>
          <w:sz w:val="32"/>
          <w:szCs w:val="32"/>
          <w:shd w:val="clear" w:color="auto" w:fill="FFFFFF"/>
        </w:rPr>
        <w:t>六、一般公共预算财政拨款基本支出决算情况说明</w:t>
      </w:r>
      <w:bookmarkEnd w:id="25"/>
      <w:bookmarkEnd w:id="26"/>
    </w:p>
    <w:p>
      <w:pPr>
        <w:pStyle w:val="13"/>
        <w:spacing w:before="0" w:beforeAutospacing="0" w:after="0" w:afterAutospacing="0" w:line="560" w:lineRule="exact"/>
        <w:ind w:firstLine="640" w:firstLineChars="200"/>
        <w:rPr>
          <w:rFonts w:eastAsia="仿宋_GB2312"/>
          <w:sz w:val="32"/>
        </w:rPr>
      </w:pPr>
      <w:r>
        <w:rPr>
          <w:rFonts w:eastAsia="仿宋_GB2312"/>
          <w:sz w:val="32"/>
        </w:rPr>
        <w:t>2020</w:t>
      </w:r>
      <w:r>
        <w:rPr>
          <w:rFonts w:hint="eastAsia" w:eastAsia="仿宋_GB2312"/>
          <w:sz w:val="32"/>
        </w:rPr>
        <w:t>年度财政拨款基本支出</w:t>
      </w:r>
      <w:r>
        <w:rPr>
          <w:rFonts w:eastAsia="仿宋_GB2312"/>
          <w:sz w:val="32"/>
        </w:rPr>
        <w:t>1647.62</w:t>
      </w:r>
      <w:r>
        <w:rPr>
          <w:rFonts w:hint="eastAsia" w:eastAsia="仿宋_GB2312"/>
          <w:sz w:val="32"/>
        </w:rPr>
        <w:t>万元，其中：人员经费</w:t>
      </w:r>
      <w:r>
        <w:rPr>
          <w:rFonts w:eastAsia="仿宋_GB2312"/>
          <w:sz w:val="32"/>
        </w:rPr>
        <w:t>1131.85</w:t>
      </w:r>
      <w:r>
        <w:rPr>
          <w:rFonts w:hint="eastAsia" w:eastAsia="仿宋_GB2312"/>
          <w:sz w:val="32"/>
        </w:rPr>
        <w:t>万元，占基本支出的</w:t>
      </w:r>
      <w:r>
        <w:rPr>
          <w:rFonts w:eastAsia="仿宋_GB2312"/>
          <w:sz w:val="32"/>
        </w:rPr>
        <w:t>68.7%,</w:t>
      </w:r>
      <w:r>
        <w:rPr>
          <w:rFonts w:hint="eastAsia" w:eastAsia="仿宋_GB2312"/>
          <w:sz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公用经费</w:t>
      </w:r>
      <w:r>
        <w:rPr>
          <w:rFonts w:eastAsia="仿宋_GB2312"/>
          <w:sz w:val="32"/>
        </w:rPr>
        <w:t>515.77</w:t>
      </w:r>
      <w:r>
        <w:rPr>
          <w:rFonts w:hint="eastAsia" w:eastAsia="仿宋_GB2312"/>
          <w:sz w:val="32"/>
        </w:rPr>
        <w:t>万元，占基本支出的</w:t>
      </w:r>
      <w:r>
        <w:rPr>
          <w:rFonts w:eastAsia="仿宋_GB2312"/>
          <w:sz w:val="32"/>
        </w:rPr>
        <w:t>31.3%</w:t>
      </w:r>
      <w:r>
        <w:rPr>
          <w:rFonts w:hint="eastAsia" w:eastAsia="仿宋_GB2312"/>
          <w:sz w:val="32"/>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外债务付息、房屋建筑物购建、办公设备购置、专用设备购置、</w:t>
      </w:r>
      <w:r>
        <w:rPr>
          <w:rFonts w:eastAsia="仿宋_GB2312"/>
          <w:sz w:val="32"/>
        </w:rPr>
        <w:t xml:space="preserve"> </w:t>
      </w:r>
      <w:r>
        <w:rPr>
          <w:rFonts w:hint="eastAsia" w:eastAsia="仿宋_GB2312"/>
          <w:sz w:val="32"/>
        </w:rPr>
        <w:t>基础设施建设、</w:t>
      </w:r>
      <w:r>
        <w:rPr>
          <w:rFonts w:eastAsia="仿宋_GB2312"/>
          <w:sz w:val="32"/>
        </w:rPr>
        <w:t xml:space="preserve"> </w:t>
      </w:r>
      <w:r>
        <w:rPr>
          <w:rFonts w:hint="eastAsia" w:eastAsia="仿宋_GB2312"/>
          <w:sz w:val="32"/>
        </w:rPr>
        <w:t>大型修缮、信息网络及软件购置更新、物资储备、土地补偿、安置补助、地上附着物和青苗补偿、拆迁补偿、公务用车购置、其他交通工具购置、文物和陈列品购置、无形资产购置、其他资本性支出、赠与、国家赔偿费用支出、对民间非营利组织和群众性自治组织补贴、其他支出。</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z w:val="32"/>
          <w:szCs w:val="32"/>
          <w:shd w:val="clear" w:color="auto" w:fill="FFFFFF"/>
        </w:rPr>
      </w:pPr>
      <w:bookmarkStart w:id="27" w:name="_Toc18644"/>
      <w:bookmarkStart w:id="28" w:name="_Toc428"/>
      <w:r>
        <w:rPr>
          <w:rStyle w:val="15"/>
          <w:rFonts w:hint="eastAsia" w:ascii="楷体_GB2312" w:hAnsi="楷体" w:eastAsia="楷体_GB2312" w:cs="楷体"/>
          <w:b w:val="0"/>
          <w:sz w:val="32"/>
          <w:szCs w:val="32"/>
          <w:shd w:val="clear" w:color="auto" w:fill="FFFFFF"/>
        </w:rPr>
        <w:t>七、一般公共预算财政拨款三公经费支出决算情况说明</w:t>
      </w:r>
      <w:bookmarkEnd w:id="27"/>
      <w:bookmarkEnd w:id="28"/>
    </w:p>
    <w:p>
      <w:pPr>
        <w:pStyle w:val="13"/>
        <w:spacing w:before="0" w:beforeAutospacing="0" w:after="0" w:afterAutospacing="0" w:line="560" w:lineRule="exact"/>
        <w:ind w:firstLine="640" w:firstLineChars="200"/>
        <w:rPr>
          <w:rStyle w:val="15"/>
          <w:rFonts w:ascii="楷体_GB2312" w:hAnsi="楷体" w:eastAsia="楷体_GB2312" w:cs="楷体"/>
          <w:b w:val="0"/>
          <w:sz w:val="32"/>
          <w:szCs w:val="32"/>
          <w:shd w:val="clear" w:color="auto" w:fill="FFFFFF"/>
        </w:rPr>
      </w:pPr>
      <w:r>
        <w:rPr>
          <w:rStyle w:val="15"/>
          <w:rFonts w:hint="eastAsia" w:ascii="楷体_GB2312" w:hAnsi="楷体" w:eastAsia="楷体_GB2312" w:cs="楷体"/>
          <w:b w:val="0"/>
          <w:sz w:val="32"/>
          <w:szCs w:val="32"/>
          <w:shd w:val="clear" w:color="auto" w:fill="FFFFFF"/>
        </w:rPr>
        <w:t>（一）“三公”经费财政拨款支出决算总体情况说明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“三公”经费财政拨款支出预算为</w:t>
      </w:r>
      <w:r>
        <w:rPr>
          <w:rFonts w:ascii="仿宋_GB2312" w:eastAsia="仿宋_GB2312"/>
          <w:sz w:val="32"/>
        </w:rPr>
        <w:t>59.5</w:t>
      </w:r>
      <w:r>
        <w:rPr>
          <w:rFonts w:hint="eastAsia" w:ascii="仿宋_GB2312" w:eastAsia="仿宋_GB2312"/>
          <w:sz w:val="32"/>
        </w:rPr>
        <w:t>万元，支出决算为</w:t>
      </w:r>
      <w:r>
        <w:rPr>
          <w:rFonts w:ascii="仿宋_GB2312" w:eastAsia="仿宋_GB2312"/>
          <w:sz w:val="32"/>
        </w:rPr>
        <w:t>54.79</w:t>
      </w:r>
      <w:r>
        <w:rPr>
          <w:rFonts w:hint="eastAsia" w:ascii="仿宋_GB2312" w:eastAsia="仿宋_GB2312"/>
          <w:sz w:val="32"/>
        </w:rPr>
        <w:t>万元，完成预算的</w:t>
      </w:r>
      <w:r>
        <w:rPr>
          <w:rFonts w:ascii="仿宋_GB2312" w:eastAsia="仿宋_GB2312"/>
          <w:sz w:val="32"/>
        </w:rPr>
        <w:t>92.08%</w:t>
      </w:r>
      <w:r>
        <w:rPr>
          <w:rFonts w:hint="eastAsia" w:ascii="仿宋_GB2312" w:eastAsia="仿宋_GB2312"/>
          <w:sz w:val="32"/>
        </w:rPr>
        <w:t>，其中：</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因公出国（境）费支出预算为</w:t>
      </w:r>
      <w:r>
        <w:rPr>
          <w:rFonts w:ascii="仿宋_GB2312" w:eastAsia="仿宋_GB2312"/>
          <w:sz w:val="32"/>
        </w:rPr>
        <w:t>0</w:t>
      </w:r>
      <w:r>
        <w:rPr>
          <w:rFonts w:hint="eastAsia" w:ascii="仿宋_GB2312" w:eastAsia="仿宋_GB2312"/>
          <w:sz w:val="32"/>
        </w:rPr>
        <w:t>万元，支出决算为</w:t>
      </w:r>
      <w:r>
        <w:rPr>
          <w:rFonts w:ascii="仿宋_GB2312" w:eastAsia="仿宋_GB2312"/>
          <w:sz w:val="32"/>
        </w:rPr>
        <w:t>0</w:t>
      </w:r>
      <w:r>
        <w:rPr>
          <w:rFonts w:hint="eastAsia" w:ascii="仿宋_GB2312" w:eastAsia="仿宋_GB2312"/>
          <w:sz w:val="32"/>
        </w:rPr>
        <w:t>万元。完成预算的</w:t>
      </w:r>
      <w:r>
        <w:rPr>
          <w:rFonts w:ascii="仿宋_GB2312" w:eastAsia="仿宋_GB2312"/>
          <w:sz w:val="32"/>
        </w:rPr>
        <w:t>0%</w:t>
      </w:r>
      <w:r>
        <w:rPr>
          <w:rFonts w:hint="eastAsia" w:ascii="仿宋_GB2312" w:eastAsia="仿宋_GB2312"/>
          <w:sz w:val="32"/>
        </w:rPr>
        <w:t>。决算数等于预算数的主要原因是年初预算没有安排资金，与上年相比减少</w:t>
      </w:r>
      <w:r>
        <w:rPr>
          <w:rFonts w:ascii="仿宋_GB2312" w:eastAsia="仿宋_GB2312"/>
          <w:sz w:val="32"/>
        </w:rPr>
        <w:t>0</w:t>
      </w:r>
      <w:r>
        <w:rPr>
          <w:rFonts w:hint="eastAsia" w:ascii="仿宋_GB2312" w:eastAsia="仿宋_GB2312"/>
          <w:sz w:val="32"/>
        </w:rPr>
        <w:t>万元，减少</w:t>
      </w:r>
      <w:r>
        <w:rPr>
          <w:rFonts w:ascii="仿宋_GB2312" w:eastAsia="仿宋_GB2312"/>
          <w:sz w:val="32"/>
        </w:rPr>
        <w:t>0%</w:t>
      </w:r>
      <w:r>
        <w:rPr>
          <w:rFonts w:hint="eastAsia" w:ascii="仿宋_GB2312" w:eastAsia="仿宋_GB2312"/>
          <w:sz w:val="32"/>
        </w:rPr>
        <w:t>。</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公务接待费支出预算为</w:t>
      </w:r>
      <w:r>
        <w:rPr>
          <w:rFonts w:ascii="仿宋_GB2312" w:eastAsia="仿宋_GB2312"/>
          <w:sz w:val="32"/>
        </w:rPr>
        <w:t>10</w:t>
      </w:r>
      <w:r>
        <w:rPr>
          <w:rFonts w:hint="eastAsia" w:ascii="仿宋_GB2312" w:eastAsia="仿宋_GB2312"/>
          <w:sz w:val="32"/>
        </w:rPr>
        <w:t>万元，支出决算为</w:t>
      </w:r>
      <w:r>
        <w:rPr>
          <w:rFonts w:ascii="仿宋_GB2312" w:eastAsia="仿宋_GB2312"/>
          <w:sz w:val="32"/>
        </w:rPr>
        <w:t>19.83</w:t>
      </w:r>
      <w:r>
        <w:rPr>
          <w:rFonts w:hint="eastAsia" w:ascii="仿宋_GB2312" w:eastAsia="仿宋_GB2312"/>
          <w:sz w:val="32"/>
        </w:rPr>
        <w:t>万元，决算数大于年初预算数的主要原因是</w:t>
      </w:r>
      <w:r>
        <w:rPr>
          <w:rFonts w:ascii="仿宋_GB2312" w:eastAsia="仿宋_GB2312"/>
          <w:sz w:val="32"/>
        </w:rPr>
        <w:t>2020</w:t>
      </w:r>
      <w:r>
        <w:rPr>
          <w:rFonts w:hint="eastAsia" w:ascii="仿宋_GB2312" w:eastAsia="仿宋_GB2312"/>
          <w:sz w:val="32"/>
        </w:rPr>
        <w:t>年度我院支付了上一年度的接待费</w:t>
      </w:r>
      <w:r>
        <w:rPr>
          <w:rFonts w:ascii="仿宋_GB2312" w:eastAsia="仿宋_GB2312"/>
          <w:sz w:val="32"/>
        </w:rPr>
        <w:t>10</w:t>
      </w:r>
      <w:r>
        <w:rPr>
          <w:rFonts w:hint="eastAsia" w:ascii="仿宋_GB2312" w:eastAsia="仿宋_GB2312"/>
          <w:sz w:val="32"/>
        </w:rPr>
        <w:t>万元。与上年相比增加</w:t>
      </w:r>
      <w:r>
        <w:rPr>
          <w:rFonts w:ascii="仿宋_GB2312" w:eastAsia="仿宋_GB2312"/>
          <w:sz w:val="32"/>
        </w:rPr>
        <w:t>10.77</w:t>
      </w:r>
      <w:r>
        <w:rPr>
          <w:rFonts w:hint="eastAsia" w:ascii="仿宋_GB2312" w:eastAsia="仿宋_GB2312"/>
          <w:sz w:val="32"/>
        </w:rPr>
        <w:t>万元</w:t>
      </w:r>
      <w:r>
        <w:rPr>
          <w:rFonts w:ascii="仿宋_GB2312" w:eastAsia="仿宋_GB2312"/>
          <w:sz w:val="32"/>
        </w:rPr>
        <w:t>,</w:t>
      </w:r>
      <w:r>
        <w:rPr>
          <w:rFonts w:hint="eastAsia" w:ascii="仿宋_GB2312" w:eastAsia="仿宋_GB2312"/>
          <w:sz w:val="32"/>
        </w:rPr>
        <w:t>增加</w:t>
      </w:r>
      <w:r>
        <w:rPr>
          <w:rFonts w:ascii="仿宋_GB2312" w:eastAsia="仿宋_GB2312"/>
          <w:sz w:val="32"/>
        </w:rPr>
        <w:t>118%</w:t>
      </w:r>
      <w:r>
        <w:rPr>
          <w:rFonts w:hint="eastAsia" w:ascii="仿宋_GB2312" w:eastAsia="仿宋_GB2312"/>
          <w:sz w:val="32"/>
        </w:rPr>
        <w:t>。增长的主要原因是我院为全国文明单位，外来单位采访、调研、学习交流、宣传工作较多，且扶贫攻坚、机关党建等中心工作增加，公务接待任务加重</w:t>
      </w:r>
      <w:r>
        <w:rPr>
          <w:rFonts w:hint="eastAsia" w:ascii="仿宋_GB2312" w:eastAsia="仿宋_GB2312"/>
          <w:sz w:val="32"/>
          <w:lang w:eastAsia="zh-CN"/>
        </w:rPr>
        <w:t>。</w:t>
      </w:r>
      <w:r>
        <w:rPr>
          <w:rFonts w:hint="eastAsia" w:ascii="仿宋_GB2312" w:eastAsia="仿宋_GB2312"/>
          <w:sz w:val="32"/>
          <w:lang w:val="en-US" w:eastAsia="zh-CN"/>
        </w:rPr>
        <w:t>另外，在报账、支付、记账过程中未将工作餐于接待餐区分开来，导致三公经费大幅增长</w:t>
      </w:r>
      <w:r>
        <w:rPr>
          <w:rFonts w:hint="eastAsia" w:ascii="仿宋_GB2312" w:eastAsia="仿宋_GB2312"/>
          <w:sz w:val="32"/>
        </w:rPr>
        <w:t>。</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公务用车购置费支出预算为</w:t>
      </w:r>
      <w:r>
        <w:rPr>
          <w:rFonts w:ascii="仿宋_GB2312" w:eastAsia="仿宋_GB2312"/>
          <w:sz w:val="32"/>
        </w:rPr>
        <w:t>0</w:t>
      </w:r>
      <w:r>
        <w:rPr>
          <w:rFonts w:hint="eastAsia" w:ascii="仿宋_GB2312" w:eastAsia="仿宋_GB2312"/>
          <w:sz w:val="32"/>
        </w:rPr>
        <w:t>万元，支出决算为</w:t>
      </w:r>
      <w:r>
        <w:rPr>
          <w:rFonts w:ascii="仿宋_GB2312" w:eastAsia="仿宋_GB2312"/>
          <w:sz w:val="32"/>
        </w:rPr>
        <w:t>0</w:t>
      </w:r>
      <w:r>
        <w:rPr>
          <w:rFonts w:hint="eastAsia" w:ascii="仿宋_GB2312" w:eastAsia="仿宋_GB2312"/>
          <w:sz w:val="32"/>
        </w:rPr>
        <w:t>万元，完成预算的</w:t>
      </w:r>
      <w:r>
        <w:rPr>
          <w:rFonts w:ascii="仿宋_GB2312" w:eastAsia="仿宋_GB2312"/>
          <w:sz w:val="32"/>
        </w:rPr>
        <w:t>0%</w:t>
      </w:r>
      <w:r>
        <w:rPr>
          <w:rFonts w:hint="eastAsia" w:ascii="仿宋_GB2312" w:eastAsia="仿宋_GB2312"/>
          <w:sz w:val="32"/>
        </w:rPr>
        <w:t>，决算数等于预算数的主要原因是年初预算没有安排资金，与上年相比减少</w:t>
      </w:r>
      <w:r>
        <w:rPr>
          <w:rFonts w:ascii="仿宋_GB2312" w:eastAsia="仿宋_GB2312"/>
          <w:sz w:val="32"/>
        </w:rPr>
        <w:t>0</w:t>
      </w:r>
      <w:r>
        <w:rPr>
          <w:rFonts w:hint="eastAsia" w:ascii="仿宋_GB2312" w:eastAsia="仿宋_GB2312"/>
          <w:sz w:val="32"/>
        </w:rPr>
        <w:t>万元，减少</w:t>
      </w:r>
      <w:r>
        <w:rPr>
          <w:rFonts w:ascii="仿宋_GB2312" w:eastAsia="仿宋_GB2312"/>
          <w:sz w:val="32"/>
        </w:rPr>
        <w:t>0%</w:t>
      </w:r>
      <w:r>
        <w:rPr>
          <w:rFonts w:hint="eastAsia" w:ascii="仿宋_GB2312" w:eastAsia="仿宋_GB2312"/>
          <w:sz w:val="32"/>
        </w:rPr>
        <w:t>。</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公务用车运行维护费支出预算为</w:t>
      </w:r>
      <w:r>
        <w:rPr>
          <w:rFonts w:ascii="仿宋_GB2312" w:eastAsia="仿宋_GB2312"/>
          <w:sz w:val="32"/>
        </w:rPr>
        <w:t>49.5</w:t>
      </w:r>
      <w:r>
        <w:rPr>
          <w:rFonts w:hint="eastAsia" w:ascii="仿宋_GB2312" w:eastAsia="仿宋_GB2312"/>
          <w:sz w:val="32"/>
        </w:rPr>
        <w:t>万元，支出决算为</w:t>
      </w:r>
      <w:r>
        <w:rPr>
          <w:rFonts w:ascii="仿宋_GB2312" w:eastAsia="仿宋_GB2312"/>
          <w:sz w:val="32"/>
        </w:rPr>
        <w:t>34.96</w:t>
      </w:r>
      <w:r>
        <w:rPr>
          <w:rFonts w:hint="eastAsia" w:ascii="仿宋_GB2312" w:eastAsia="仿宋_GB2312"/>
          <w:sz w:val="32"/>
        </w:rPr>
        <w:t>万元，完成预算的</w:t>
      </w:r>
      <w:r>
        <w:rPr>
          <w:rFonts w:ascii="仿宋_GB2312" w:eastAsia="仿宋_GB2312"/>
          <w:sz w:val="32"/>
        </w:rPr>
        <w:t>70.63%</w:t>
      </w:r>
      <w:r>
        <w:rPr>
          <w:rFonts w:hint="eastAsia" w:ascii="仿宋_GB2312" w:eastAsia="仿宋_GB2312"/>
          <w:sz w:val="32"/>
        </w:rPr>
        <w:t>，决算数小于年初预算数的主要原因是本年度我院从公务用车购置费及运行维护费经济科目里调剂了约</w:t>
      </w:r>
      <w:r>
        <w:rPr>
          <w:rFonts w:ascii="仿宋_GB2312" w:eastAsia="仿宋_GB2312"/>
          <w:sz w:val="32"/>
        </w:rPr>
        <w:t>10</w:t>
      </w:r>
      <w:r>
        <w:rPr>
          <w:rFonts w:hint="eastAsia" w:ascii="仿宋_GB2312" w:eastAsia="仿宋_GB2312"/>
          <w:sz w:val="32"/>
        </w:rPr>
        <w:t>万元到公务接待费经济科目内，再加上从严控制公务用车购置费及运行维护费开支，全年实际支出比预算节约幅度较大。与上年相比减少</w:t>
      </w:r>
      <w:r>
        <w:rPr>
          <w:rFonts w:ascii="仿宋_GB2312" w:eastAsia="仿宋_GB2312"/>
          <w:sz w:val="32"/>
        </w:rPr>
        <w:t>10.52</w:t>
      </w:r>
      <w:r>
        <w:rPr>
          <w:rFonts w:hint="eastAsia" w:ascii="仿宋_GB2312" w:eastAsia="仿宋_GB2312"/>
          <w:sz w:val="32"/>
        </w:rPr>
        <w:t>万元，减少</w:t>
      </w:r>
      <w:r>
        <w:rPr>
          <w:rFonts w:ascii="仿宋_GB2312" w:eastAsia="仿宋_GB2312"/>
          <w:sz w:val="32"/>
        </w:rPr>
        <w:t>23.13%,</w:t>
      </w:r>
      <w:r>
        <w:rPr>
          <w:rFonts w:hint="eastAsia" w:ascii="仿宋_GB2312" w:eastAsia="仿宋_GB2312"/>
          <w:sz w:val="32"/>
        </w:rPr>
        <w:t>减少的主要原因是本年度我院从公务用车购置费及运行维护费经济科目里调剂了约</w:t>
      </w:r>
      <w:r>
        <w:rPr>
          <w:rFonts w:ascii="仿宋_GB2312" w:eastAsia="仿宋_GB2312"/>
          <w:sz w:val="32"/>
        </w:rPr>
        <w:t>10</w:t>
      </w:r>
      <w:r>
        <w:rPr>
          <w:rFonts w:hint="eastAsia" w:ascii="仿宋_GB2312" w:eastAsia="仿宋_GB2312"/>
          <w:sz w:val="32"/>
        </w:rPr>
        <w:t>万元到公务接待费经济科目内，再加上进一步从严控制公务用车购置费及运行维护费开支。</w:t>
      </w:r>
    </w:p>
    <w:p>
      <w:pPr>
        <w:pStyle w:val="13"/>
        <w:spacing w:before="0" w:beforeAutospacing="0" w:after="0" w:afterAutospacing="0" w:line="560" w:lineRule="exact"/>
        <w:ind w:firstLine="640" w:firstLineChars="200"/>
        <w:rPr>
          <w:rStyle w:val="15"/>
          <w:rFonts w:ascii="楷体_GB2312" w:hAnsi="楷体" w:eastAsia="楷体_GB2312" w:cs="楷体"/>
          <w:b w:val="0"/>
          <w:sz w:val="32"/>
          <w:szCs w:val="32"/>
          <w:shd w:val="clear" w:color="auto" w:fill="FFFFFF"/>
        </w:rPr>
      </w:pPr>
      <w:r>
        <w:rPr>
          <w:rStyle w:val="15"/>
          <w:rFonts w:hint="eastAsia" w:ascii="楷体_GB2312" w:hAnsi="楷体" w:eastAsia="楷体_GB2312" w:cs="楷体"/>
          <w:b w:val="0"/>
          <w:sz w:val="32"/>
          <w:szCs w:val="32"/>
          <w:shd w:val="clear" w:color="auto" w:fill="FFFFFF"/>
        </w:rPr>
        <w:t>（二）“三公”经费财政拨款支出决算具体情况说明</w:t>
      </w:r>
    </w:p>
    <w:p>
      <w:pPr>
        <w:pStyle w:val="13"/>
        <w:spacing w:before="0" w:beforeAutospacing="0" w:after="0" w:afterAutospacing="0" w:line="560" w:lineRule="exact"/>
        <w:ind w:firstLine="640" w:firstLineChars="200"/>
        <w:rPr>
          <w:rFonts w:ascii="仿宋_GB2312" w:eastAsia="仿宋_GB2312"/>
          <w:sz w:val="32"/>
        </w:rPr>
      </w:pPr>
      <w:r>
        <w:rPr>
          <w:rFonts w:ascii="仿宋_GB2312" w:eastAsia="仿宋_GB2312"/>
          <w:sz w:val="32"/>
        </w:rPr>
        <w:t>2020</w:t>
      </w:r>
      <w:r>
        <w:rPr>
          <w:rFonts w:hint="eastAsia" w:ascii="仿宋_GB2312" w:eastAsia="仿宋_GB2312"/>
          <w:sz w:val="32"/>
        </w:rPr>
        <w:t>年度“三公”经费财政拨款支出决算中，公务接待费支出决算</w:t>
      </w:r>
      <w:r>
        <w:rPr>
          <w:rFonts w:ascii="仿宋_GB2312" w:eastAsia="仿宋_GB2312"/>
          <w:sz w:val="32"/>
        </w:rPr>
        <w:t>19.83</w:t>
      </w:r>
      <w:r>
        <w:rPr>
          <w:rFonts w:hint="eastAsia" w:ascii="仿宋_GB2312" w:eastAsia="仿宋_GB2312"/>
          <w:sz w:val="32"/>
        </w:rPr>
        <w:t>万元，占</w:t>
      </w:r>
      <w:r>
        <w:rPr>
          <w:rFonts w:ascii="仿宋_GB2312" w:eastAsia="仿宋_GB2312"/>
          <w:sz w:val="32"/>
        </w:rPr>
        <w:t>33.3%,</w:t>
      </w:r>
      <w:r>
        <w:rPr>
          <w:rFonts w:hint="eastAsia" w:ascii="仿宋_GB2312" w:eastAsia="仿宋_GB2312"/>
          <w:sz w:val="32"/>
        </w:rPr>
        <w:t>公务用车购置费及运行维护费支出决算</w:t>
      </w:r>
      <w:r>
        <w:rPr>
          <w:rFonts w:ascii="仿宋_GB2312" w:eastAsia="仿宋_GB2312"/>
          <w:sz w:val="32"/>
        </w:rPr>
        <w:t>34.96</w:t>
      </w:r>
      <w:r>
        <w:rPr>
          <w:rFonts w:hint="eastAsia" w:ascii="仿宋_GB2312" w:eastAsia="仿宋_GB2312"/>
          <w:sz w:val="32"/>
        </w:rPr>
        <w:t>万元，占</w:t>
      </w:r>
      <w:r>
        <w:rPr>
          <w:rFonts w:ascii="仿宋_GB2312" w:eastAsia="仿宋_GB2312"/>
          <w:sz w:val="32"/>
        </w:rPr>
        <w:t>58.7%</w:t>
      </w:r>
      <w:r>
        <w:rPr>
          <w:rFonts w:hint="eastAsia" w:ascii="仿宋_GB2312" w:eastAsia="仿宋_GB2312"/>
          <w:sz w:val="32"/>
        </w:rPr>
        <w:t>。其中：</w:t>
      </w:r>
    </w:p>
    <w:p>
      <w:pPr>
        <w:pStyle w:val="13"/>
        <w:spacing w:before="0" w:beforeAutospacing="0" w:after="0" w:afterAutospacing="0" w:line="560" w:lineRule="exact"/>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、因公出国（境）费支出决算为</w:t>
      </w:r>
      <w:r>
        <w:rPr>
          <w:rFonts w:ascii="仿宋_GB2312" w:eastAsia="仿宋_GB2312"/>
          <w:sz w:val="32"/>
        </w:rPr>
        <w:t>0</w:t>
      </w:r>
      <w:r>
        <w:rPr>
          <w:rFonts w:hint="eastAsia" w:ascii="仿宋_GB2312" w:eastAsia="仿宋_GB2312"/>
          <w:sz w:val="32"/>
        </w:rPr>
        <w:t>万元。</w:t>
      </w:r>
      <w:r>
        <w:rPr>
          <w:rFonts w:ascii="仿宋_GB2312" w:eastAsia="仿宋_GB2312"/>
          <w:sz w:val="32"/>
        </w:rPr>
        <w:t xml:space="preserve"> </w:t>
      </w:r>
    </w:p>
    <w:p>
      <w:pPr>
        <w:pStyle w:val="13"/>
        <w:spacing w:before="0" w:beforeAutospacing="0" w:after="0" w:afterAutospacing="0" w:line="560" w:lineRule="exact"/>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、公务接待费支出决算为</w:t>
      </w:r>
      <w:r>
        <w:rPr>
          <w:rFonts w:ascii="仿宋_GB2312" w:eastAsia="仿宋_GB2312"/>
          <w:sz w:val="32"/>
        </w:rPr>
        <w:t>19.83</w:t>
      </w:r>
      <w:r>
        <w:rPr>
          <w:rFonts w:hint="eastAsia" w:ascii="仿宋_GB2312" w:eastAsia="仿宋_GB2312"/>
          <w:sz w:val="32"/>
        </w:rPr>
        <w:t>万元，全年共接待来访团组</w:t>
      </w:r>
      <w:r>
        <w:rPr>
          <w:rFonts w:ascii="仿宋_GB2312" w:eastAsia="仿宋_GB2312"/>
          <w:sz w:val="32"/>
        </w:rPr>
        <w:t>200</w:t>
      </w:r>
      <w:r>
        <w:rPr>
          <w:rFonts w:hint="eastAsia" w:ascii="仿宋_GB2312" w:eastAsia="仿宋_GB2312"/>
          <w:sz w:val="32"/>
        </w:rPr>
        <w:t>个、来宾</w:t>
      </w:r>
      <w:r>
        <w:rPr>
          <w:rFonts w:ascii="仿宋_GB2312" w:eastAsia="仿宋_GB2312"/>
          <w:sz w:val="32"/>
        </w:rPr>
        <w:t>2215</w:t>
      </w:r>
      <w:r>
        <w:rPr>
          <w:rFonts w:hint="eastAsia" w:ascii="仿宋_GB2312" w:eastAsia="仿宋_GB2312"/>
          <w:sz w:val="32"/>
        </w:rPr>
        <w:t>人次，主要是接待全国各地检察机关和国内相关部门交流工作和协办案件等。</w:t>
      </w:r>
    </w:p>
    <w:p>
      <w:pPr>
        <w:pStyle w:val="13"/>
        <w:spacing w:before="0" w:beforeAutospacing="0" w:after="0" w:afterAutospacing="0" w:line="560" w:lineRule="exact"/>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、公务用车购置费及运行维护费支出决算为</w:t>
      </w:r>
      <w:r>
        <w:rPr>
          <w:rFonts w:ascii="仿宋_GB2312" w:eastAsia="仿宋_GB2312"/>
          <w:sz w:val="32"/>
        </w:rPr>
        <w:t>34.96</w:t>
      </w:r>
      <w:r>
        <w:rPr>
          <w:rFonts w:hint="eastAsia" w:ascii="仿宋_GB2312" w:eastAsia="仿宋_GB2312"/>
          <w:sz w:val="32"/>
        </w:rPr>
        <w:t>万元，其中：公务用车购置费</w:t>
      </w:r>
      <w:r>
        <w:rPr>
          <w:rFonts w:ascii="仿宋_GB2312" w:eastAsia="仿宋_GB2312"/>
          <w:sz w:val="32"/>
        </w:rPr>
        <w:t>0</w:t>
      </w:r>
      <w:r>
        <w:rPr>
          <w:rFonts w:hint="eastAsia" w:ascii="仿宋_GB2312" w:eastAsia="仿宋_GB2312"/>
          <w:sz w:val="32"/>
        </w:rPr>
        <w:t>万元，公务用车运行维护费</w:t>
      </w:r>
      <w:r>
        <w:rPr>
          <w:rFonts w:ascii="仿宋_GB2312" w:eastAsia="仿宋_GB2312"/>
          <w:sz w:val="32"/>
        </w:rPr>
        <w:t>34.96</w:t>
      </w:r>
      <w:r>
        <w:rPr>
          <w:rFonts w:hint="eastAsia" w:ascii="仿宋_GB2312" w:eastAsia="仿宋_GB2312"/>
          <w:sz w:val="32"/>
        </w:rPr>
        <w:t>万元，主要是用于机要通信、执法执勤和侦查办案等所需公务车辆的燃料费、维修费、过路过桥费、年审费和保险费等支出。截止</w:t>
      </w:r>
      <w:r>
        <w:rPr>
          <w:rFonts w:ascii="仿宋_GB2312" w:eastAsia="仿宋_GB2312"/>
          <w:sz w:val="32"/>
        </w:rPr>
        <w:t>2020</w:t>
      </w:r>
      <w:r>
        <w:rPr>
          <w:rFonts w:hint="eastAsia" w:ascii="仿宋_GB2312" w:eastAsia="仿宋_GB2312"/>
          <w:sz w:val="32"/>
        </w:rPr>
        <w:t>年</w:t>
      </w:r>
      <w:r>
        <w:rPr>
          <w:rFonts w:ascii="仿宋_GB2312" w:eastAsia="仿宋_GB2312"/>
          <w:sz w:val="32"/>
        </w:rPr>
        <w:t>12</w:t>
      </w:r>
      <w:r>
        <w:rPr>
          <w:rFonts w:hint="eastAsia" w:ascii="仿宋_GB2312" w:eastAsia="仿宋_GB2312"/>
          <w:sz w:val="32"/>
        </w:rPr>
        <w:t>月</w:t>
      </w:r>
      <w:r>
        <w:rPr>
          <w:rFonts w:ascii="仿宋_GB2312" w:eastAsia="仿宋_GB2312"/>
          <w:sz w:val="32"/>
        </w:rPr>
        <w:t>31</w:t>
      </w:r>
      <w:r>
        <w:rPr>
          <w:rFonts w:hint="eastAsia" w:ascii="仿宋_GB2312" w:eastAsia="仿宋_GB2312"/>
          <w:sz w:val="32"/>
        </w:rPr>
        <w:t>日，我院财政拨款开支的公务用车保有量为</w:t>
      </w:r>
      <w:r>
        <w:rPr>
          <w:rFonts w:ascii="仿宋_GB2312" w:eastAsia="仿宋_GB2312"/>
          <w:sz w:val="32"/>
        </w:rPr>
        <w:t>7</w:t>
      </w:r>
      <w:r>
        <w:rPr>
          <w:rFonts w:hint="eastAsia" w:ascii="仿宋_GB2312" w:eastAsia="仿宋_GB2312"/>
          <w:sz w:val="32"/>
        </w:rPr>
        <w:t>辆。</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z w:val="32"/>
          <w:szCs w:val="32"/>
          <w:shd w:val="clear" w:color="auto" w:fill="FFFFFF"/>
        </w:rPr>
      </w:pPr>
      <w:bookmarkStart w:id="29" w:name="_Toc5526"/>
      <w:bookmarkStart w:id="30" w:name="_Toc25792"/>
      <w:r>
        <w:rPr>
          <w:rStyle w:val="15"/>
          <w:rFonts w:hint="eastAsia" w:ascii="楷体_GB2312" w:hAnsi="楷体" w:eastAsia="楷体_GB2312" w:cs="楷体"/>
          <w:b w:val="0"/>
          <w:sz w:val="32"/>
          <w:szCs w:val="32"/>
          <w:shd w:val="clear" w:color="auto" w:fill="FFFFFF"/>
        </w:rPr>
        <w:t>八、政府性基金预算收入支出决算情况</w:t>
      </w:r>
      <w:bookmarkEnd w:id="29"/>
      <w:bookmarkEnd w:id="30"/>
    </w:p>
    <w:p>
      <w:pPr>
        <w:pStyle w:val="13"/>
        <w:spacing w:before="0" w:beforeAutospacing="0" w:after="0" w:afterAutospacing="0" w:line="560" w:lineRule="exact"/>
        <w:ind w:firstLine="640" w:firstLineChars="200"/>
        <w:rPr>
          <w:rFonts w:eastAsia="仿宋_GB2312"/>
          <w:sz w:val="32"/>
        </w:rPr>
      </w:pPr>
      <w:r>
        <w:rPr>
          <w:rFonts w:eastAsia="仿宋_GB2312"/>
          <w:sz w:val="32"/>
        </w:rPr>
        <w:t>2020</w:t>
      </w:r>
      <w:r>
        <w:rPr>
          <w:rFonts w:hint="eastAsia" w:eastAsia="仿宋_GB2312"/>
          <w:sz w:val="32"/>
        </w:rPr>
        <w:t>年度本单位无政府性基金收支。</w:t>
      </w:r>
    </w:p>
    <w:p>
      <w:pPr>
        <w:pStyle w:val="13"/>
        <w:spacing w:before="0" w:beforeAutospacing="0" w:after="0" w:afterAutospacing="0" w:line="560" w:lineRule="exact"/>
        <w:ind w:firstLine="640" w:firstLineChars="200"/>
        <w:rPr>
          <w:rStyle w:val="15"/>
          <w:rFonts w:ascii="楷体_GB2312" w:hAnsi="楷体" w:eastAsia="楷体_GB2312" w:cs="楷体"/>
          <w:b w:val="0"/>
          <w:sz w:val="32"/>
          <w:szCs w:val="32"/>
          <w:shd w:val="clear" w:color="auto" w:fill="FFFFFF"/>
        </w:rPr>
      </w:pPr>
      <w:bookmarkStart w:id="31" w:name="_Toc5899"/>
      <w:bookmarkStart w:id="32" w:name="_Toc7846"/>
      <w:r>
        <w:rPr>
          <w:rStyle w:val="15"/>
          <w:rFonts w:hint="eastAsia" w:ascii="楷体_GB2312" w:hAnsi="楷体" w:eastAsia="楷体_GB2312" w:cs="楷体"/>
          <w:b w:val="0"/>
          <w:sz w:val="32"/>
          <w:szCs w:val="32"/>
          <w:shd w:val="clear" w:color="auto" w:fill="FFFFFF"/>
        </w:rPr>
        <w:t>九、关于机关运行经费支出说明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本部门</w:t>
      </w:r>
      <w:r>
        <w:rPr>
          <w:rFonts w:ascii="仿宋_GB2312" w:eastAsia="仿宋_GB2312"/>
          <w:sz w:val="32"/>
        </w:rPr>
        <w:t>2020</w:t>
      </w:r>
      <w:r>
        <w:rPr>
          <w:rFonts w:hint="eastAsia" w:ascii="仿宋_GB2312" w:eastAsia="仿宋_GB2312"/>
          <w:sz w:val="32"/>
        </w:rPr>
        <w:t>年度机关运行经费支出</w:t>
      </w:r>
      <w:r>
        <w:rPr>
          <w:rFonts w:ascii="仿宋_GB2312" w:eastAsia="仿宋_GB2312"/>
          <w:sz w:val="32"/>
        </w:rPr>
        <w:t>515.78</w:t>
      </w:r>
      <w:r>
        <w:rPr>
          <w:rFonts w:hint="eastAsia" w:ascii="仿宋_GB2312" w:eastAsia="仿宋_GB2312"/>
          <w:sz w:val="32"/>
        </w:rPr>
        <w:t>万元，比</w:t>
      </w:r>
      <w:r>
        <w:rPr>
          <w:rFonts w:ascii="仿宋_GB2312" w:eastAsia="仿宋_GB2312"/>
          <w:sz w:val="32"/>
        </w:rPr>
        <w:t>2019</w:t>
      </w:r>
      <w:r>
        <w:rPr>
          <w:rFonts w:hint="eastAsia" w:ascii="仿宋_GB2312" w:eastAsia="仿宋_GB2312"/>
          <w:sz w:val="32"/>
        </w:rPr>
        <w:t>年增加</w:t>
      </w:r>
      <w:r>
        <w:rPr>
          <w:rFonts w:ascii="仿宋_GB2312" w:eastAsia="仿宋_GB2312"/>
          <w:sz w:val="32"/>
        </w:rPr>
        <w:t>9.41</w:t>
      </w:r>
      <w:r>
        <w:rPr>
          <w:rFonts w:hint="eastAsia" w:ascii="仿宋_GB2312" w:eastAsia="仿宋_GB2312"/>
          <w:sz w:val="32"/>
        </w:rPr>
        <w:t>万元，降低</w:t>
      </w:r>
      <w:r>
        <w:rPr>
          <w:rFonts w:ascii="仿宋_GB2312" w:eastAsia="仿宋_GB2312"/>
          <w:sz w:val="32"/>
        </w:rPr>
        <w:t>6.45%</w:t>
      </w:r>
      <w:r>
        <w:rPr>
          <w:rFonts w:hint="eastAsia" w:ascii="仿宋_GB2312" w:eastAsia="仿宋_GB2312"/>
          <w:sz w:val="32"/>
        </w:rPr>
        <w:t>。主要原因是：案件数量逐年攀升，</w:t>
      </w:r>
      <w:r>
        <w:rPr>
          <w:rFonts w:hint="eastAsia" w:ascii="仿宋_GB2312" w:eastAsia="仿宋_GB2312" w:cs="宋体"/>
          <w:sz w:val="32"/>
          <w:szCs w:val="32"/>
        </w:rPr>
        <w:t>办案成本增加</w:t>
      </w:r>
      <w:r>
        <w:rPr>
          <w:rFonts w:hint="eastAsia" w:ascii="仿宋_GB2312" w:eastAsia="仿宋_GB2312"/>
          <w:sz w:val="32"/>
        </w:rPr>
        <w:t>。</w:t>
      </w:r>
    </w:p>
    <w:p>
      <w:pPr>
        <w:pStyle w:val="13"/>
        <w:spacing w:before="0" w:beforeAutospacing="0" w:after="0" w:afterAutospacing="0" w:line="560" w:lineRule="exact"/>
        <w:ind w:firstLine="640" w:firstLineChars="200"/>
        <w:rPr>
          <w:rFonts w:ascii="仿宋_GB2312" w:eastAsia="仿宋_GB2312"/>
          <w:color w:val="FF0000"/>
        </w:rPr>
      </w:pPr>
      <w:r>
        <w:rPr>
          <w:rStyle w:val="15"/>
          <w:rFonts w:hint="eastAsia" w:ascii="楷体_GB2312" w:hAnsi="楷体" w:eastAsia="楷体_GB2312" w:cs="楷体"/>
          <w:b w:val="0"/>
          <w:sz w:val="32"/>
          <w:szCs w:val="32"/>
          <w:shd w:val="clear" w:color="auto" w:fill="FFFFFF"/>
        </w:rPr>
        <w:t>十、一般性支出情况</w:t>
      </w:r>
    </w:p>
    <w:p>
      <w:pPr>
        <w:pStyle w:val="13"/>
        <w:spacing w:before="0" w:beforeAutospacing="0" w:after="0" w:afterAutospacing="0" w:line="560" w:lineRule="exact"/>
        <w:ind w:firstLine="640" w:firstLineChars="200"/>
        <w:rPr>
          <w:rStyle w:val="15"/>
          <w:rFonts w:ascii="仿宋_GB2312" w:eastAsia="仿宋_GB2312"/>
          <w:b w:val="0"/>
          <w:sz w:val="32"/>
        </w:rPr>
      </w:pPr>
      <w:r>
        <w:rPr>
          <w:rFonts w:ascii="仿宋_GB2312" w:eastAsia="仿宋_GB2312"/>
          <w:sz w:val="32"/>
        </w:rPr>
        <w:t>2020</w:t>
      </w:r>
      <w:r>
        <w:rPr>
          <w:rFonts w:hint="eastAsia" w:ascii="仿宋_GB2312" w:eastAsia="仿宋_GB2312"/>
          <w:sz w:val="32"/>
        </w:rPr>
        <w:t>年本部门开支会议费</w:t>
      </w:r>
      <w:r>
        <w:rPr>
          <w:rFonts w:ascii="仿宋_GB2312" w:eastAsia="仿宋_GB2312"/>
          <w:sz w:val="32"/>
        </w:rPr>
        <w:t>0</w:t>
      </w:r>
      <w:r>
        <w:rPr>
          <w:rFonts w:hint="eastAsia" w:ascii="仿宋_GB2312" w:eastAsia="仿宋_GB2312"/>
          <w:sz w:val="32"/>
        </w:rPr>
        <w:t>万元；开支培训费</w:t>
      </w:r>
      <w:r>
        <w:rPr>
          <w:rFonts w:ascii="仿宋_GB2312" w:eastAsia="仿宋_GB2312"/>
          <w:sz w:val="32"/>
        </w:rPr>
        <w:t>0</w:t>
      </w:r>
      <w:r>
        <w:rPr>
          <w:rFonts w:hint="eastAsia" w:ascii="仿宋_GB2312" w:eastAsia="仿宋_GB2312"/>
          <w:sz w:val="32"/>
        </w:rPr>
        <w:t>万元。用于召开会议，人数</w:t>
      </w:r>
      <w:r>
        <w:rPr>
          <w:rFonts w:ascii="仿宋_GB2312" w:eastAsia="仿宋_GB2312"/>
          <w:sz w:val="32"/>
        </w:rPr>
        <w:t>0</w:t>
      </w:r>
      <w:r>
        <w:rPr>
          <w:rFonts w:hint="eastAsia" w:ascii="仿宋_GB2312" w:eastAsia="仿宋_GB2312"/>
          <w:sz w:val="32"/>
        </w:rPr>
        <w:t>人，内容为无；开支培训费</w:t>
      </w:r>
      <w:r>
        <w:rPr>
          <w:rFonts w:ascii="仿宋_GB2312" w:eastAsia="仿宋_GB2312"/>
          <w:sz w:val="32"/>
        </w:rPr>
        <w:t>0</w:t>
      </w:r>
      <w:r>
        <w:rPr>
          <w:rFonts w:hint="eastAsia" w:ascii="仿宋_GB2312" w:eastAsia="仿宋_GB2312"/>
          <w:sz w:val="32"/>
        </w:rPr>
        <w:t>万元，用于开展培训，人数</w:t>
      </w:r>
      <w:r>
        <w:rPr>
          <w:rFonts w:ascii="仿宋_GB2312" w:eastAsia="仿宋_GB2312"/>
          <w:sz w:val="32"/>
        </w:rPr>
        <w:t>0</w:t>
      </w:r>
      <w:r>
        <w:rPr>
          <w:rFonts w:hint="eastAsia" w:ascii="仿宋_GB2312" w:eastAsia="仿宋_GB2312"/>
          <w:sz w:val="32"/>
        </w:rPr>
        <w:t>人，内容为无；</w:t>
      </w:r>
      <w:r>
        <w:rPr>
          <w:rFonts w:hint="eastAsia" w:ascii="仿宋_GB2312" w:eastAsia="仿宋_GB2312"/>
          <w:sz w:val="32"/>
          <w:lang w:eastAsia="zh-CN"/>
        </w:rPr>
        <w:t>无</w:t>
      </w:r>
      <w:r>
        <w:rPr>
          <w:rFonts w:hint="eastAsia" w:ascii="仿宋_GB2312" w:eastAsia="仿宋_GB2312"/>
          <w:sz w:val="32"/>
        </w:rPr>
        <w:t>举办节庆、晚会、论坛、赛事活动，开支</w:t>
      </w:r>
      <w:r>
        <w:rPr>
          <w:rFonts w:ascii="仿宋_GB2312" w:eastAsia="仿宋_GB2312"/>
          <w:sz w:val="32"/>
        </w:rPr>
        <w:t>0</w:t>
      </w:r>
      <w:r>
        <w:rPr>
          <w:rFonts w:hint="eastAsia" w:ascii="仿宋_GB2312" w:eastAsia="仿宋_GB2312"/>
          <w:sz w:val="32"/>
        </w:rPr>
        <w:t>万元。</w:t>
      </w:r>
    </w:p>
    <w:p>
      <w:pPr>
        <w:pStyle w:val="13"/>
        <w:spacing w:before="0" w:beforeAutospacing="0" w:after="0" w:afterAutospacing="0" w:line="560" w:lineRule="exact"/>
        <w:ind w:firstLine="640" w:firstLineChars="200"/>
        <w:rPr>
          <w:rStyle w:val="15"/>
          <w:rFonts w:ascii="楷体_GB2312" w:hAnsi="楷体" w:eastAsia="楷体_GB2312" w:cs="楷体"/>
          <w:b w:val="0"/>
          <w:color w:val="FF0000"/>
          <w:shd w:val="clear" w:color="auto" w:fill="FFFFFF"/>
        </w:rPr>
      </w:pPr>
      <w:r>
        <w:rPr>
          <w:rStyle w:val="15"/>
          <w:rFonts w:hint="eastAsia" w:ascii="楷体_GB2312" w:hAnsi="楷体" w:eastAsia="楷体_GB2312" w:cs="楷体"/>
          <w:b w:val="0"/>
          <w:sz w:val="32"/>
          <w:szCs w:val="32"/>
          <w:shd w:val="clear" w:color="auto" w:fill="FFFFFF"/>
        </w:rPr>
        <w:t>十一、关于政府采购支出说明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本部门</w:t>
      </w:r>
      <w:r>
        <w:rPr>
          <w:rFonts w:ascii="仿宋_GB2312" w:eastAsia="仿宋_GB2312"/>
          <w:sz w:val="32"/>
        </w:rPr>
        <w:t>2020</w:t>
      </w:r>
      <w:r>
        <w:rPr>
          <w:rFonts w:hint="eastAsia" w:ascii="仿宋_GB2312" w:eastAsia="仿宋_GB2312"/>
          <w:sz w:val="32"/>
        </w:rPr>
        <w:t>年度政府采购支出总额</w:t>
      </w:r>
      <w:r>
        <w:rPr>
          <w:rFonts w:ascii="仿宋_GB2312" w:eastAsia="仿宋_GB2312"/>
          <w:sz w:val="32"/>
        </w:rPr>
        <w:t>244.04</w:t>
      </w:r>
      <w:r>
        <w:rPr>
          <w:rFonts w:hint="eastAsia" w:ascii="仿宋_GB2312" w:eastAsia="仿宋_GB2312"/>
          <w:sz w:val="32"/>
        </w:rPr>
        <w:t>万元，其中：政府采购货物支出</w:t>
      </w:r>
      <w:r>
        <w:rPr>
          <w:rFonts w:ascii="仿宋_GB2312" w:eastAsia="仿宋_GB2312"/>
          <w:sz w:val="32"/>
        </w:rPr>
        <w:t>53.8</w:t>
      </w:r>
      <w:r>
        <w:rPr>
          <w:rFonts w:hint="eastAsia" w:ascii="仿宋_GB2312" w:eastAsia="仿宋_GB2312"/>
          <w:sz w:val="32"/>
        </w:rPr>
        <w:t>万元、政府采购工程支出</w:t>
      </w:r>
      <w:r>
        <w:rPr>
          <w:rFonts w:ascii="仿宋_GB2312" w:eastAsia="仿宋_GB2312"/>
          <w:sz w:val="32"/>
        </w:rPr>
        <w:t>145.04</w:t>
      </w:r>
      <w:r>
        <w:rPr>
          <w:rFonts w:hint="eastAsia" w:ascii="仿宋_GB2312" w:eastAsia="仿宋_GB2312"/>
          <w:sz w:val="32"/>
        </w:rPr>
        <w:t>万元、政府采购服务支出</w:t>
      </w:r>
      <w:r>
        <w:rPr>
          <w:rFonts w:ascii="仿宋_GB2312" w:eastAsia="仿宋_GB2312"/>
          <w:sz w:val="32"/>
        </w:rPr>
        <w:t>45.2</w:t>
      </w:r>
      <w:r>
        <w:rPr>
          <w:rFonts w:hint="eastAsia" w:ascii="仿宋_GB2312" w:eastAsia="仿宋_GB2312"/>
          <w:sz w:val="32"/>
        </w:rPr>
        <w:t>万元。授予中小企业合同金额</w:t>
      </w:r>
      <w:r>
        <w:rPr>
          <w:rFonts w:ascii="仿宋_GB2312" w:eastAsia="仿宋_GB2312"/>
          <w:sz w:val="32"/>
        </w:rPr>
        <w:t>244.04</w:t>
      </w:r>
      <w:r>
        <w:rPr>
          <w:rFonts w:hint="eastAsia" w:ascii="仿宋_GB2312" w:eastAsia="仿宋_GB2312"/>
          <w:sz w:val="32"/>
        </w:rPr>
        <w:t>万元，占政府采购支出总额的</w:t>
      </w:r>
      <w:r>
        <w:rPr>
          <w:rFonts w:ascii="仿宋_GB2312" w:eastAsia="仿宋_GB2312"/>
          <w:sz w:val="32"/>
        </w:rPr>
        <w:t>100%</w:t>
      </w:r>
      <w:r>
        <w:rPr>
          <w:rFonts w:hint="eastAsia" w:ascii="仿宋_GB2312" w:eastAsia="仿宋_GB2312"/>
          <w:sz w:val="32"/>
        </w:rPr>
        <w:t>，其中：授予小微企业合同金额</w:t>
      </w:r>
      <w:r>
        <w:rPr>
          <w:rFonts w:ascii="仿宋_GB2312" w:eastAsia="仿宋_GB2312"/>
          <w:sz w:val="32"/>
        </w:rPr>
        <w:t>244.04</w:t>
      </w:r>
      <w:r>
        <w:rPr>
          <w:rFonts w:hint="eastAsia" w:ascii="仿宋_GB2312" w:eastAsia="仿宋_GB2312"/>
          <w:sz w:val="32"/>
        </w:rPr>
        <w:t>万元。占授予中小企业合同金额的</w:t>
      </w:r>
      <w:r>
        <w:rPr>
          <w:rFonts w:ascii="仿宋_GB2312" w:eastAsia="仿宋_GB2312"/>
          <w:sz w:val="32"/>
        </w:rPr>
        <w:t>100%</w:t>
      </w:r>
      <w:r>
        <w:rPr>
          <w:rFonts w:hint="eastAsia" w:ascii="仿宋_GB2312" w:eastAsia="仿宋_GB2312"/>
          <w:sz w:val="32"/>
        </w:rPr>
        <w:t>；货物采购授予中小企业合同金额占货物支出金额的</w:t>
      </w:r>
      <w:r>
        <w:rPr>
          <w:rFonts w:ascii="仿宋_GB2312" w:eastAsia="仿宋_GB2312"/>
          <w:sz w:val="32"/>
        </w:rPr>
        <w:t>22%</w:t>
      </w:r>
      <w:r>
        <w:rPr>
          <w:rFonts w:hint="eastAsia" w:ascii="仿宋_GB2312" w:eastAsia="仿宋_GB2312"/>
          <w:sz w:val="32"/>
        </w:rPr>
        <w:t>，工程采购授予中小企业合同金额占工程支出金额的</w:t>
      </w:r>
      <w:r>
        <w:rPr>
          <w:rFonts w:ascii="仿宋_GB2312" w:eastAsia="仿宋_GB2312"/>
          <w:sz w:val="32"/>
        </w:rPr>
        <w:t>59.4%</w:t>
      </w:r>
      <w:r>
        <w:rPr>
          <w:rFonts w:hint="eastAsia" w:ascii="仿宋_GB2312" w:eastAsia="仿宋_GB2312"/>
          <w:sz w:val="32"/>
        </w:rPr>
        <w:t>，服务采购授予中小企业合同金额占服务支出金额的</w:t>
      </w:r>
      <w:r>
        <w:rPr>
          <w:rFonts w:ascii="仿宋_GB2312" w:eastAsia="仿宋_GB2312"/>
          <w:sz w:val="32"/>
        </w:rPr>
        <w:t>18.6%</w:t>
      </w:r>
      <w:r>
        <w:rPr>
          <w:rFonts w:hint="eastAsia" w:ascii="仿宋_GB2312" w:eastAsia="仿宋_GB2312"/>
          <w:sz w:val="32"/>
        </w:rPr>
        <w:t>。</w:t>
      </w:r>
    </w:p>
    <w:p>
      <w:pPr>
        <w:pStyle w:val="13"/>
        <w:spacing w:before="0" w:beforeAutospacing="0" w:after="0" w:afterAutospacing="0" w:line="560" w:lineRule="exact"/>
        <w:ind w:firstLine="640" w:firstLineChars="200"/>
        <w:rPr>
          <w:rStyle w:val="15"/>
          <w:rFonts w:ascii="楷体_GB2312" w:hAnsi="楷体" w:eastAsia="楷体_GB2312" w:cs="楷体"/>
          <w:b w:val="0"/>
          <w:sz w:val="32"/>
          <w:szCs w:val="32"/>
          <w:shd w:val="clear" w:color="auto" w:fill="FFFFFF"/>
        </w:rPr>
      </w:pPr>
      <w:r>
        <w:rPr>
          <w:rStyle w:val="15"/>
          <w:rFonts w:hint="eastAsia" w:ascii="楷体_GB2312" w:hAnsi="楷体" w:eastAsia="楷体_GB2312" w:cs="楷体"/>
          <w:b w:val="0"/>
          <w:sz w:val="32"/>
          <w:szCs w:val="32"/>
          <w:shd w:val="clear" w:color="auto" w:fill="FFFFFF"/>
        </w:rPr>
        <w:t>十二、关于国有资产占用情况说明</w:t>
      </w:r>
    </w:p>
    <w:p>
      <w:pPr>
        <w:pStyle w:val="13"/>
        <w:spacing w:before="0" w:beforeAutospacing="0" w:after="0" w:afterAutospacing="0" w:line="560" w:lineRule="exact"/>
        <w:ind w:firstLine="640" w:firstLineChars="200"/>
        <w:rPr>
          <w:rFonts w:eastAsia="仿宋_GB2312"/>
          <w:sz w:val="32"/>
        </w:rPr>
      </w:pPr>
      <w:r>
        <w:rPr>
          <w:rFonts w:hint="eastAsia" w:eastAsia="仿宋_GB2312"/>
          <w:sz w:val="32"/>
        </w:rPr>
        <w:t>截至</w:t>
      </w:r>
      <w:r>
        <w:rPr>
          <w:rFonts w:eastAsia="仿宋_GB2312"/>
          <w:sz w:val="32"/>
        </w:rPr>
        <w:t>2020</w:t>
      </w:r>
      <w:r>
        <w:rPr>
          <w:rFonts w:hint="eastAsia" w:eastAsia="仿宋_GB2312"/>
          <w:sz w:val="32"/>
        </w:rPr>
        <w:t>年</w:t>
      </w:r>
      <w:r>
        <w:rPr>
          <w:rFonts w:eastAsia="仿宋_GB2312"/>
          <w:sz w:val="32"/>
        </w:rPr>
        <w:t>12</w:t>
      </w:r>
      <w:r>
        <w:rPr>
          <w:rFonts w:hint="eastAsia" w:eastAsia="仿宋_GB2312"/>
          <w:sz w:val="32"/>
        </w:rPr>
        <w:t>月</w:t>
      </w:r>
      <w:r>
        <w:rPr>
          <w:rFonts w:eastAsia="仿宋_GB2312"/>
          <w:sz w:val="32"/>
        </w:rPr>
        <w:t>31</w:t>
      </w:r>
      <w:r>
        <w:rPr>
          <w:rFonts w:hint="eastAsia" w:eastAsia="仿宋_GB2312"/>
          <w:sz w:val="32"/>
        </w:rPr>
        <w:t>日，我院共有车辆</w:t>
      </w:r>
      <w:r>
        <w:rPr>
          <w:rFonts w:eastAsia="仿宋_GB2312"/>
          <w:sz w:val="32"/>
        </w:rPr>
        <w:t>7</w:t>
      </w:r>
      <w:r>
        <w:rPr>
          <w:rFonts w:hint="eastAsia" w:eastAsia="仿宋_GB2312"/>
          <w:sz w:val="32"/>
        </w:rPr>
        <w:t>辆，其中，机要通信用车</w:t>
      </w:r>
      <w:r>
        <w:rPr>
          <w:rFonts w:eastAsia="仿宋_GB2312"/>
          <w:sz w:val="32"/>
        </w:rPr>
        <w:t>1</w:t>
      </w:r>
      <w:r>
        <w:rPr>
          <w:rFonts w:hint="eastAsia" w:eastAsia="仿宋_GB2312"/>
          <w:sz w:val="32"/>
        </w:rPr>
        <w:t>辆、执法执勤用车</w:t>
      </w:r>
      <w:r>
        <w:rPr>
          <w:rFonts w:eastAsia="仿宋_GB2312"/>
          <w:sz w:val="32"/>
        </w:rPr>
        <w:t>6</w:t>
      </w:r>
      <w:r>
        <w:rPr>
          <w:rFonts w:hint="eastAsia" w:eastAsia="仿宋_GB2312"/>
          <w:sz w:val="32"/>
        </w:rPr>
        <w:t>辆；单位价值</w:t>
      </w:r>
      <w:r>
        <w:rPr>
          <w:rFonts w:eastAsia="仿宋_GB2312"/>
          <w:sz w:val="32"/>
        </w:rPr>
        <w:t>50</w:t>
      </w:r>
      <w:r>
        <w:rPr>
          <w:rFonts w:hint="eastAsia" w:eastAsia="仿宋_GB2312"/>
          <w:sz w:val="32"/>
        </w:rPr>
        <w:t>万元以上通用设备</w:t>
      </w:r>
      <w:r>
        <w:rPr>
          <w:rFonts w:eastAsia="仿宋_GB2312"/>
          <w:sz w:val="32"/>
        </w:rPr>
        <w:t>0</w:t>
      </w:r>
      <w:r>
        <w:rPr>
          <w:rFonts w:hint="eastAsia" w:eastAsia="仿宋_GB2312"/>
          <w:sz w:val="32"/>
        </w:rPr>
        <w:t>台（套）；单位价值</w:t>
      </w:r>
      <w:r>
        <w:rPr>
          <w:rFonts w:eastAsia="仿宋_GB2312"/>
          <w:sz w:val="32"/>
        </w:rPr>
        <w:t>100</w:t>
      </w:r>
      <w:r>
        <w:rPr>
          <w:rFonts w:hint="eastAsia" w:eastAsia="仿宋_GB2312"/>
          <w:sz w:val="32"/>
        </w:rPr>
        <w:t>万元以上专用设备</w:t>
      </w:r>
      <w:r>
        <w:rPr>
          <w:rFonts w:eastAsia="仿宋_GB2312"/>
          <w:sz w:val="32"/>
        </w:rPr>
        <w:t>0</w:t>
      </w:r>
      <w:r>
        <w:rPr>
          <w:rFonts w:hint="eastAsia" w:eastAsia="仿宋_GB2312"/>
          <w:sz w:val="32"/>
        </w:rPr>
        <w:t>台（套）。</w:t>
      </w:r>
    </w:p>
    <w:p>
      <w:pPr>
        <w:pStyle w:val="13"/>
        <w:spacing w:before="0" w:beforeAutospacing="0" w:after="0" w:afterAutospacing="0" w:line="560" w:lineRule="exact"/>
        <w:ind w:firstLine="640" w:firstLineChars="200"/>
        <w:outlineLvl w:val="1"/>
        <w:rPr>
          <w:rStyle w:val="15"/>
          <w:rFonts w:ascii="楷体_GB2312" w:hAnsi="楷体" w:eastAsia="楷体_GB2312" w:cs="楷体"/>
          <w:b w:val="0"/>
          <w:sz w:val="32"/>
          <w:szCs w:val="32"/>
          <w:shd w:val="clear" w:color="auto" w:fill="FFFFFF"/>
        </w:rPr>
      </w:pPr>
      <w:r>
        <w:rPr>
          <w:rStyle w:val="15"/>
          <w:rFonts w:hint="eastAsia" w:ascii="楷体_GB2312" w:hAnsi="楷体" w:eastAsia="楷体_GB2312" w:cs="楷体"/>
          <w:b w:val="0"/>
          <w:sz w:val="32"/>
          <w:szCs w:val="32"/>
          <w:shd w:val="clear" w:color="auto" w:fill="FFFFFF"/>
        </w:rPr>
        <w:t>十三、关于</w:t>
      </w:r>
      <w:r>
        <w:rPr>
          <w:rStyle w:val="15"/>
          <w:rFonts w:ascii="楷体_GB2312" w:hAnsi="楷体" w:eastAsia="楷体_GB2312" w:cs="楷体"/>
          <w:b w:val="0"/>
          <w:sz w:val="32"/>
          <w:szCs w:val="32"/>
          <w:shd w:val="clear" w:color="auto" w:fill="FFFFFF"/>
        </w:rPr>
        <w:t>2020</w:t>
      </w:r>
      <w:r>
        <w:rPr>
          <w:rStyle w:val="15"/>
          <w:rFonts w:hint="eastAsia" w:ascii="楷体_GB2312" w:hAnsi="楷体" w:eastAsia="楷体_GB2312" w:cs="楷体"/>
          <w:b w:val="0"/>
          <w:sz w:val="32"/>
          <w:szCs w:val="32"/>
          <w:shd w:val="clear" w:color="auto" w:fill="FFFFFF"/>
        </w:rPr>
        <w:t>年度预算绩效情况说明</w:t>
      </w:r>
      <w:bookmarkEnd w:id="31"/>
      <w:bookmarkEnd w:id="32"/>
    </w:p>
    <w:p>
      <w:pPr>
        <w:pStyle w:val="39"/>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涟源市人民检察院坚持以习近平新时代中国特色社会主义思想为指导，深入学习贯彻党的十九大和十九届二中、三中、四中、五中全会精神和习近平法治思想，依法履行宪法赋予的监督职责，受理审查逮捕案件</w:t>
      </w:r>
      <w:r>
        <w:rPr>
          <w:rFonts w:ascii="仿宋_GB2312" w:hAnsi="仿宋_GB2312" w:eastAsia="仿宋_GB2312" w:cs="仿宋_GB2312"/>
          <w:color w:val="auto"/>
          <w:sz w:val="32"/>
          <w:szCs w:val="32"/>
        </w:rPr>
        <w:t>318</w:t>
      </w:r>
      <w:r>
        <w:rPr>
          <w:rFonts w:hint="eastAsia" w:ascii="仿宋_GB2312" w:hAnsi="仿宋_GB2312" w:eastAsia="仿宋_GB2312" w:cs="仿宋_GB2312"/>
          <w:color w:val="auto"/>
          <w:sz w:val="32"/>
          <w:szCs w:val="32"/>
        </w:rPr>
        <w:t>件</w:t>
      </w:r>
      <w:r>
        <w:rPr>
          <w:rFonts w:ascii="仿宋_GB2312" w:hAnsi="仿宋_GB2312" w:eastAsia="仿宋_GB2312" w:cs="仿宋_GB2312"/>
          <w:color w:val="auto"/>
          <w:sz w:val="32"/>
          <w:szCs w:val="32"/>
        </w:rPr>
        <w:t>450</w:t>
      </w:r>
      <w:r>
        <w:rPr>
          <w:rFonts w:hint="eastAsia" w:ascii="仿宋_GB2312" w:hAnsi="仿宋_GB2312" w:eastAsia="仿宋_GB2312" w:cs="仿宋_GB2312"/>
          <w:color w:val="auto"/>
          <w:sz w:val="32"/>
          <w:szCs w:val="32"/>
        </w:rPr>
        <w:t>人，受理审查起诉案件</w:t>
      </w:r>
      <w:r>
        <w:rPr>
          <w:rFonts w:ascii="仿宋_GB2312" w:hAnsi="仿宋_GB2312" w:eastAsia="仿宋_GB2312" w:cs="仿宋_GB2312"/>
          <w:color w:val="auto"/>
          <w:sz w:val="32"/>
          <w:szCs w:val="32"/>
        </w:rPr>
        <w:t>663</w:t>
      </w:r>
      <w:r>
        <w:rPr>
          <w:rFonts w:hint="eastAsia" w:ascii="仿宋_GB2312" w:hAnsi="仿宋_GB2312" w:eastAsia="仿宋_GB2312" w:cs="仿宋_GB2312"/>
          <w:color w:val="auto"/>
          <w:sz w:val="32"/>
          <w:szCs w:val="32"/>
        </w:rPr>
        <w:t>件</w:t>
      </w:r>
      <w:r>
        <w:rPr>
          <w:rFonts w:ascii="仿宋_GB2312" w:hAnsi="仿宋_GB2312" w:eastAsia="仿宋_GB2312" w:cs="仿宋_GB2312"/>
          <w:color w:val="auto"/>
          <w:sz w:val="32"/>
          <w:szCs w:val="32"/>
        </w:rPr>
        <w:t>837</w:t>
      </w:r>
      <w:r>
        <w:rPr>
          <w:rFonts w:hint="eastAsia" w:ascii="仿宋_GB2312" w:hAnsi="仿宋_GB2312" w:eastAsia="仿宋_GB2312" w:cs="仿宋_GB2312"/>
          <w:color w:val="auto"/>
          <w:sz w:val="32"/>
          <w:szCs w:val="32"/>
        </w:rPr>
        <w:t>人，立案办理公益诉讼案件</w:t>
      </w:r>
      <w:r>
        <w:rPr>
          <w:rFonts w:ascii="仿宋_GB2312" w:hAnsi="仿宋_GB2312" w:eastAsia="仿宋_GB2312" w:cs="仿宋_GB2312"/>
          <w:color w:val="auto"/>
          <w:sz w:val="32"/>
          <w:szCs w:val="32"/>
        </w:rPr>
        <w:t>102</w:t>
      </w:r>
      <w:r>
        <w:rPr>
          <w:rFonts w:hint="eastAsia" w:ascii="仿宋_GB2312" w:hAnsi="仿宋_GB2312" w:eastAsia="仿宋_GB2312" w:cs="仿宋_GB2312"/>
          <w:color w:val="auto"/>
          <w:sz w:val="32"/>
          <w:szCs w:val="32"/>
        </w:rPr>
        <w:t>件，受理民事、行政监督案件</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件，受理控告申诉等来信</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件，来访</w:t>
      </w:r>
      <w:r>
        <w:rPr>
          <w:rFonts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t>件，网络信访</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件，批捕涉黑涉恶犯罪</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件</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人，起诉电信网络新型违法犯罪</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件</w:t>
      </w:r>
      <w:r>
        <w:rPr>
          <w:rFonts w:ascii="仿宋_GB2312" w:hAnsi="仿宋_GB2312" w:eastAsia="仿宋_GB2312" w:cs="仿宋_GB2312"/>
          <w:color w:val="auto"/>
          <w:sz w:val="32"/>
          <w:szCs w:val="32"/>
        </w:rPr>
        <w:t>78</w:t>
      </w:r>
      <w:r>
        <w:rPr>
          <w:rFonts w:hint="eastAsia" w:ascii="仿宋_GB2312" w:hAnsi="仿宋_GB2312" w:eastAsia="仿宋_GB2312" w:cs="仿宋_GB2312"/>
          <w:color w:val="auto"/>
          <w:sz w:val="32"/>
          <w:szCs w:val="32"/>
        </w:rPr>
        <w:t>人受理。</w:t>
      </w:r>
    </w:p>
    <w:p>
      <w:pPr>
        <w:jc w:val="left"/>
        <w:rPr>
          <w:rStyle w:val="15"/>
          <w:rFonts w:ascii="黑体" w:hAnsi="黑体" w:eastAsia="黑体" w:cs="黑体"/>
          <w:kern w:val="0"/>
          <w:sz w:val="44"/>
          <w:szCs w:val="44"/>
          <w:shd w:val="clear" w:color="auto" w:fill="FFFFFF"/>
        </w:rPr>
      </w:pPr>
      <w:bookmarkStart w:id="33" w:name="_Toc16970"/>
      <w:r>
        <w:rPr>
          <w:rStyle w:val="15"/>
          <w:rFonts w:ascii="黑体" w:hAnsi="黑体" w:eastAsia="黑体" w:cs="黑体"/>
          <w:kern w:val="0"/>
          <w:sz w:val="44"/>
          <w:szCs w:val="44"/>
          <w:shd w:val="clear" w:color="auto" w:fill="FFFFFF"/>
        </w:rPr>
        <w:br w:type="page"/>
      </w:r>
    </w:p>
    <w:p>
      <w:pPr>
        <w:pStyle w:val="13"/>
        <w:spacing w:before="0" w:beforeAutospacing="0" w:after="0" w:afterAutospacing="0" w:line="560" w:lineRule="exact"/>
        <w:ind w:firstLine="883" w:firstLineChars="200"/>
        <w:jc w:val="center"/>
        <w:outlineLvl w:val="0"/>
        <w:rPr>
          <w:rStyle w:val="15"/>
          <w:rFonts w:ascii="黑体" w:hAnsi="黑体" w:eastAsia="黑体" w:cs="黑体"/>
          <w:sz w:val="44"/>
          <w:szCs w:val="44"/>
          <w:shd w:val="clear" w:color="auto" w:fill="FFFFFF"/>
        </w:rPr>
      </w:pPr>
      <w:r>
        <w:rPr>
          <w:rStyle w:val="15"/>
          <w:rFonts w:hint="eastAsia" w:ascii="黑体" w:hAnsi="黑体" w:eastAsia="黑体" w:cs="黑体"/>
          <w:sz w:val="44"/>
          <w:szCs w:val="44"/>
          <w:shd w:val="clear" w:color="auto" w:fill="FFFFFF"/>
        </w:rPr>
        <w:t>第四部分</w:t>
      </w:r>
      <w:r>
        <w:rPr>
          <w:rStyle w:val="15"/>
          <w:rFonts w:ascii="黑体" w:hAnsi="黑体" w:eastAsia="黑体" w:cs="黑体"/>
          <w:sz w:val="44"/>
          <w:szCs w:val="44"/>
          <w:shd w:val="clear" w:color="auto" w:fill="FFFFFF"/>
        </w:rPr>
        <w:t xml:space="preserve"> </w:t>
      </w:r>
      <w:r>
        <w:rPr>
          <w:rStyle w:val="15"/>
          <w:rFonts w:hint="eastAsia" w:ascii="黑体" w:hAnsi="黑体" w:eastAsia="黑体" w:cs="黑体"/>
          <w:sz w:val="44"/>
          <w:szCs w:val="44"/>
          <w:shd w:val="clear" w:color="auto" w:fill="FFFFFF"/>
        </w:rPr>
        <w:t>名词解释</w:t>
      </w:r>
      <w:bookmarkEnd w:id="33"/>
    </w:p>
    <w:p>
      <w:pPr>
        <w:pStyle w:val="13"/>
        <w:spacing w:before="0" w:beforeAutospacing="0" w:after="0" w:afterAutospacing="0" w:line="560" w:lineRule="exact"/>
        <w:ind w:firstLine="643" w:firstLineChars="200"/>
        <w:rPr>
          <w:rStyle w:val="15"/>
          <w:rFonts w:cs="宋体"/>
          <w:sz w:val="32"/>
          <w:szCs w:val="32"/>
          <w:shd w:val="clear" w:color="auto" w:fill="FFFFFF"/>
        </w:rPr>
      </w:pP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一、财政拨款收入</w:t>
      </w:r>
      <w:r>
        <w:rPr>
          <w:rStyle w:val="15"/>
          <w:rFonts w:hint="eastAsia" w:ascii="楷体_GB2312" w:hAnsi="楷体" w:eastAsia="楷体_GB2312" w:cs="楷体"/>
          <w:kern w:val="0"/>
          <w:sz w:val="24"/>
          <w:szCs w:val="24"/>
          <w:shd w:val="clear" w:color="auto" w:fill="FFFFFF"/>
        </w:rPr>
        <w:t>：</w:t>
      </w:r>
      <w:r>
        <w:rPr>
          <w:rFonts w:hint="eastAsia" w:ascii="仿宋_GB2312" w:hAnsi="Times New Roman" w:eastAsia="仿宋_GB2312" w:cs="仿宋_GB2312"/>
          <w:color w:val="353535"/>
          <w:kern w:val="0"/>
          <w:sz w:val="32"/>
          <w:szCs w:val="32"/>
        </w:rPr>
        <w:t>指省本级财政当年拨付的资金。</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二、其他收入</w:t>
      </w:r>
      <w:r>
        <w:rPr>
          <w:rStyle w:val="15"/>
          <w:rFonts w:hint="eastAsia" w:ascii="楷体_GB2312" w:hAnsi="楷体" w:eastAsia="楷体_GB2312" w:cs="楷体"/>
          <w:kern w:val="0"/>
          <w:sz w:val="24"/>
          <w:szCs w:val="24"/>
          <w:shd w:val="clear" w:color="auto" w:fill="FFFFFF"/>
        </w:rPr>
        <w:t>：</w:t>
      </w:r>
      <w:r>
        <w:rPr>
          <w:rFonts w:hint="eastAsia" w:ascii="仿宋_GB2312" w:hAnsi="Times New Roman" w:eastAsia="仿宋_GB2312" w:cs="仿宋_GB2312"/>
          <w:color w:val="353535"/>
          <w:kern w:val="0"/>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三、上年结转和结余</w:t>
      </w:r>
      <w:r>
        <w:rPr>
          <w:rStyle w:val="15"/>
          <w:rFonts w:hint="eastAsia" w:ascii="楷体_GB2312" w:hAnsi="楷体" w:eastAsia="楷体_GB2312" w:cs="楷体"/>
          <w:kern w:val="0"/>
          <w:sz w:val="24"/>
          <w:szCs w:val="24"/>
          <w:shd w:val="clear" w:color="auto" w:fill="FFFFFF"/>
        </w:rPr>
        <w:t>：</w:t>
      </w:r>
      <w:r>
        <w:rPr>
          <w:rFonts w:hint="eastAsia" w:ascii="仿宋_GB2312" w:hAnsi="Times New Roman" w:eastAsia="仿宋_GB2312" w:cs="仿宋_GB2312"/>
          <w:color w:val="353535"/>
          <w:kern w:val="0"/>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四、年末结转和结余</w:t>
      </w:r>
      <w:r>
        <w:rPr>
          <w:rStyle w:val="15"/>
          <w:rFonts w:hint="eastAsia" w:ascii="楷体_GB2312" w:hAnsi="楷体" w:eastAsia="楷体_GB2312" w:cs="楷体"/>
          <w:kern w:val="0"/>
          <w:sz w:val="24"/>
          <w:szCs w:val="24"/>
          <w:shd w:val="clear" w:color="auto" w:fill="FFFFFF"/>
        </w:rPr>
        <w:t>：</w:t>
      </w:r>
      <w:r>
        <w:rPr>
          <w:rFonts w:hint="eastAsia" w:ascii="仿宋_GB2312" w:hAnsi="Times New Roman" w:eastAsia="仿宋_GB2312" w:cs="仿宋_GB2312"/>
          <w:color w:val="353535"/>
          <w:kern w:val="0"/>
          <w:sz w:val="32"/>
          <w:szCs w:val="32"/>
        </w:rPr>
        <w:t>指单位按有关规定结转到下年或以后年度继续使用的资金，或项目已完成产生的结余资金。</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五、公共安全支出（类）检察（款）</w:t>
      </w:r>
      <w:r>
        <w:rPr>
          <w:rStyle w:val="15"/>
          <w:rFonts w:hint="eastAsia" w:ascii="楷体_GB2312" w:hAnsi="楷体" w:eastAsia="楷体_GB2312" w:cs="楷体"/>
          <w:kern w:val="0"/>
          <w:sz w:val="24"/>
          <w:szCs w:val="24"/>
          <w:shd w:val="clear" w:color="auto" w:fill="FFFFFF"/>
        </w:rPr>
        <w:t>：</w:t>
      </w:r>
      <w:r>
        <w:rPr>
          <w:rFonts w:hint="eastAsia" w:ascii="仿宋_GB2312" w:hAnsi="Times New Roman" w:eastAsia="仿宋_GB2312" w:cs="仿宋_GB2312"/>
          <w:color w:val="353535"/>
          <w:kern w:val="0"/>
          <w:sz w:val="32"/>
          <w:szCs w:val="32"/>
        </w:rPr>
        <w:t>指检察机关用于保障机构正常运行、开展检察业务工作的支出。</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六、教育支出（类）进修及培训（款）培训支出（项）：</w:t>
      </w:r>
      <w:r>
        <w:rPr>
          <w:rFonts w:hint="eastAsia" w:ascii="仿宋_GB2312" w:hAnsi="Times New Roman" w:eastAsia="仿宋_GB2312" w:cs="仿宋_GB2312"/>
          <w:color w:val="353535"/>
          <w:kern w:val="0"/>
          <w:sz w:val="32"/>
          <w:szCs w:val="32"/>
        </w:rPr>
        <w:t>指单位用于干警教育培训的支出。</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七、社会保障和就业支出（类）行政事业单位离退休（款）未归口管理的行政单位离退休（项）：</w:t>
      </w:r>
      <w:r>
        <w:rPr>
          <w:rFonts w:hint="eastAsia" w:ascii="仿宋_GB2312" w:hAnsi="Times New Roman" w:eastAsia="仿宋_GB2312" w:cs="仿宋_GB2312"/>
          <w:color w:val="353535"/>
          <w:kern w:val="0"/>
          <w:sz w:val="32"/>
          <w:szCs w:val="32"/>
        </w:rPr>
        <w:t>指单位用于未归口社保的离退休人员的工资性支出。</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八、住房保障支出（类）住房改革支出（款）：</w:t>
      </w:r>
      <w:r>
        <w:rPr>
          <w:rFonts w:hint="eastAsia" w:ascii="仿宋_GB2312" w:hAnsi="Times New Roman" w:eastAsia="仿宋_GB2312" w:cs="仿宋_GB2312"/>
          <w:color w:val="353535"/>
          <w:kern w:val="0"/>
          <w:sz w:val="32"/>
          <w:szCs w:val="32"/>
        </w:rPr>
        <w:t>指单位按照国家政策规定用于住房改革方面的支出。</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（一）住房公积金（项）：</w:t>
      </w:r>
      <w:r>
        <w:rPr>
          <w:rFonts w:hint="eastAsia" w:ascii="仿宋_GB2312" w:hAnsi="Times New Roman" w:eastAsia="仿宋_GB2312" w:cs="仿宋_GB2312"/>
          <w:color w:val="353535"/>
          <w:kern w:val="0"/>
          <w:sz w:val="32"/>
          <w:szCs w:val="32"/>
        </w:rPr>
        <w:t>指按照国家统一规定，按规定比例为职工缴纳的住房公积金。</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（二）购房补贴（项）：</w:t>
      </w:r>
      <w:r>
        <w:rPr>
          <w:rFonts w:hint="eastAsia" w:ascii="仿宋_GB2312" w:hAnsi="Times New Roman" w:eastAsia="仿宋_GB2312" w:cs="仿宋_GB2312"/>
          <w:color w:val="353535"/>
          <w:kern w:val="0"/>
          <w:sz w:val="32"/>
          <w:szCs w:val="32"/>
        </w:rPr>
        <w:t>指</w:t>
      </w:r>
      <w:r>
        <w:rPr>
          <w:rFonts w:ascii="Times New Roman" w:hAnsi="Times New Roman" w:cs="Times New Roman"/>
          <w:color w:val="353535"/>
          <w:kern w:val="0"/>
          <w:sz w:val="32"/>
          <w:szCs w:val="32"/>
        </w:rPr>
        <w:t>1998</w:t>
      </w:r>
      <w:r>
        <w:rPr>
          <w:rFonts w:hint="eastAsia" w:ascii="仿宋_GB2312" w:hAnsi="Times New Roman" w:eastAsia="仿宋_GB2312" w:cs="仿宋_GB2312"/>
          <w:color w:val="353535"/>
          <w:kern w:val="0"/>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九、基本支出</w:t>
      </w:r>
      <w:r>
        <w:rPr>
          <w:rStyle w:val="15"/>
          <w:rFonts w:hint="eastAsia" w:ascii="楷体_GB2312" w:hAnsi="楷体" w:eastAsia="楷体_GB2312" w:cs="楷体"/>
          <w:kern w:val="0"/>
          <w:sz w:val="24"/>
          <w:szCs w:val="24"/>
          <w:shd w:val="clear" w:color="auto" w:fill="FFFFFF"/>
        </w:rPr>
        <w:t>：</w:t>
      </w:r>
      <w:r>
        <w:rPr>
          <w:rFonts w:hint="eastAsia" w:ascii="仿宋_GB2312" w:hAnsi="Times New Roman" w:eastAsia="仿宋_GB2312" w:cs="仿宋_GB2312"/>
          <w:color w:val="353535"/>
          <w:kern w:val="0"/>
          <w:sz w:val="32"/>
          <w:szCs w:val="32"/>
        </w:rPr>
        <w:t>指为保障机构正常运转、完成日常工作任务而发生的人员支出和公用支出。</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十、项目支出：</w:t>
      </w:r>
      <w:r>
        <w:rPr>
          <w:rFonts w:hint="eastAsia" w:ascii="仿宋_GB2312" w:hAnsi="Times New Roman" w:eastAsia="仿宋_GB2312" w:cs="仿宋_GB2312"/>
          <w:color w:val="353535"/>
          <w:kern w:val="0"/>
          <w:sz w:val="32"/>
          <w:szCs w:val="32"/>
        </w:rPr>
        <w:t>指在基本支出以外为完成特定任务和事业发展目标所发生的支出。</w:t>
      </w:r>
    </w:p>
    <w:p>
      <w:pPr>
        <w:adjustRightInd w:val="0"/>
        <w:snapToGrid w:val="0"/>
        <w:spacing w:line="560" w:lineRule="exact"/>
        <w:ind w:firstLine="640" w:firstLineChars="200"/>
        <w:jc w:val="left"/>
        <w:rPr>
          <w:rFonts w:ascii="宋体" w:hAnsi="宋体" w:cs="Times New Roman"/>
          <w:kern w:val="0"/>
          <w:sz w:val="24"/>
          <w:szCs w:val="24"/>
        </w:rPr>
      </w:pPr>
      <w:r>
        <w:rPr>
          <w:rStyle w:val="15"/>
          <w:rFonts w:hint="eastAsia" w:ascii="楷体_GB2312" w:hAnsi="楷体" w:eastAsia="楷体_GB2312" w:cs="楷体"/>
          <w:b w:val="0"/>
          <w:kern w:val="0"/>
          <w:sz w:val="32"/>
          <w:szCs w:val="32"/>
          <w:shd w:val="clear" w:color="auto" w:fill="FFFFFF"/>
        </w:rPr>
        <w:t>十一、“</w:t>
      </w:r>
      <w:r>
        <w:rPr>
          <w:rStyle w:val="15"/>
          <w:rFonts w:ascii="楷体_GB2312" w:hAnsi="楷体" w:eastAsia="楷体_GB2312" w:cs="楷体"/>
          <w:b w:val="0"/>
          <w:kern w:val="0"/>
          <w:sz w:val="32"/>
          <w:szCs w:val="32"/>
          <w:shd w:val="clear" w:color="auto" w:fill="FFFFFF"/>
        </w:rPr>
        <w:t xml:space="preserve"> </w:t>
      </w:r>
      <w:r>
        <w:rPr>
          <w:rStyle w:val="15"/>
          <w:rFonts w:hint="eastAsia" w:ascii="楷体_GB2312" w:hAnsi="楷体" w:eastAsia="楷体_GB2312" w:cs="楷体"/>
          <w:b w:val="0"/>
          <w:kern w:val="0"/>
          <w:sz w:val="32"/>
          <w:szCs w:val="32"/>
          <w:shd w:val="clear" w:color="auto" w:fill="FFFFFF"/>
        </w:rPr>
        <w:t>三公”</w:t>
      </w:r>
      <w:r>
        <w:rPr>
          <w:rStyle w:val="15"/>
          <w:rFonts w:ascii="楷体_GB2312" w:hAnsi="楷体" w:eastAsia="楷体_GB2312" w:cs="楷体"/>
          <w:b w:val="0"/>
          <w:kern w:val="0"/>
          <w:sz w:val="32"/>
          <w:szCs w:val="32"/>
          <w:shd w:val="clear" w:color="auto" w:fill="FFFFFF"/>
        </w:rPr>
        <w:t xml:space="preserve"> </w:t>
      </w:r>
      <w:r>
        <w:rPr>
          <w:rStyle w:val="15"/>
          <w:rFonts w:hint="eastAsia" w:ascii="楷体_GB2312" w:hAnsi="楷体" w:eastAsia="楷体_GB2312" w:cs="楷体"/>
          <w:b w:val="0"/>
          <w:kern w:val="0"/>
          <w:sz w:val="32"/>
          <w:szCs w:val="32"/>
          <w:shd w:val="clear" w:color="auto" w:fill="FFFFFF"/>
        </w:rPr>
        <w:t>经费财政拨款支出：</w:t>
      </w:r>
      <w:r>
        <w:rPr>
          <w:rFonts w:hint="eastAsia" w:ascii="仿宋_GB2312" w:hAnsi="Times New Roman" w:eastAsia="仿宋_GB2312" w:cs="仿宋_GB2312"/>
          <w:color w:val="353535"/>
          <w:kern w:val="0"/>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jc w:val="left"/>
        <w:rPr>
          <w:rFonts w:ascii="仿宋_GB2312" w:hAnsi="Times New Roman" w:eastAsia="仿宋_GB2312" w:cs="仿宋_GB2312"/>
          <w:color w:val="353535"/>
          <w:kern w:val="0"/>
          <w:sz w:val="32"/>
          <w:szCs w:val="32"/>
        </w:rPr>
      </w:pPr>
      <w:r>
        <w:rPr>
          <w:rStyle w:val="15"/>
          <w:rFonts w:hint="eastAsia" w:ascii="楷体_GB2312" w:hAnsi="楷体" w:eastAsia="楷体_GB2312" w:cs="楷体"/>
          <w:b w:val="0"/>
          <w:kern w:val="0"/>
          <w:sz w:val="32"/>
          <w:szCs w:val="32"/>
          <w:shd w:val="clear" w:color="auto" w:fill="FFFFFF"/>
        </w:rPr>
        <w:t>十二、机关运行经费</w:t>
      </w:r>
      <w:r>
        <w:rPr>
          <w:rFonts w:hint="eastAsia" w:ascii="楷体_GB2312" w:hAnsi="宋体" w:eastAsia="楷体_GB2312" w:cs="黑体"/>
          <w:b/>
          <w:color w:val="353535"/>
          <w:kern w:val="0"/>
          <w:sz w:val="32"/>
          <w:szCs w:val="32"/>
        </w:rPr>
        <w:t>：</w:t>
      </w:r>
      <w:r>
        <w:rPr>
          <w:rFonts w:hint="eastAsia" w:ascii="仿宋_GB2312" w:hAnsi="Times New Roman" w:eastAsia="仿宋_GB2312" w:cs="仿宋_GB2312"/>
          <w:color w:val="353535"/>
          <w:kern w:val="0"/>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adjustRightInd w:val="0"/>
        <w:snapToGrid w:val="0"/>
        <w:spacing w:line="560" w:lineRule="exact"/>
        <w:ind w:firstLine="640" w:firstLineChars="200"/>
        <w:jc w:val="left"/>
        <w:rPr>
          <w:rFonts w:ascii="仿宋_GB2312" w:hAnsi="Times New Roman" w:eastAsia="仿宋_GB2312" w:cs="仿宋_GB2312"/>
          <w:color w:val="353535"/>
          <w:kern w:val="0"/>
          <w:sz w:val="32"/>
          <w:szCs w:val="32"/>
        </w:rPr>
      </w:pPr>
    </w:p>
    <w:p>
      <w:pPr>
        <w:adjustRightInd w:val="0"/>
        <w:snapToGrid w:val="0"/>
        <w:spacing w:line="560" w:lineRule="exact"/>
        <w:ind w:firstLine="640" w:firstLineChars="200"/>
        <w:jc w:val="left"/>
        <w:rPr>
          <w:rFonts w:ascii="仿宋_GB2312" w:hAnsi="Times New Roman" w:eastAsia="仿宋_GB2312" w:cs="仿宋_GB2312"/>
          <w:color w:val="353535"/>
          <w:kern w:val="0"/>
          <w:sz w:val="32"/>
          <w:szCs w:val="32"/>
        </w:rPr>
      </w:pPr>
    </w:p>
    <w:p>
      <w:pPr>
        <w:adjustRightInd w:val="0"/>
        <w:snapToGrid w:val="0"/>
        <w:spacing w:line="560" w:lineRule="exact"/>
        <w:ind w:firstLine="640" w:firstLineChars="200"/>
        <w:jc w:val="left"/>
        <w:rPr>
          <w:rFonts w:ascii="仿宋_GB2312" w:hAnsi="Times New Roman" w:eastAsia="仿宋_GB2312" w:cs="仿宋_GB2312"/>
          <w:color w:val="353535"/>
          <w:kern w:val="0"/>
          <w:sz w:val="32"/>
          <w:szCs w:val="32"/>
        </w:rPr>
      </w:pPr>
    </w:p>
    <w:p>
      <w:pPr>
        <w:adjustRightInd w:val="0"/>
        <w:snapToGrid w:val="0"/>
        <w:spacing w:line="560" w:lineRule="exact"/>
        <w:ind w:firstLine="640" w:firstLineChars="200"/>
        <w:jc w:val="left"/>
        <w:rPr>
          <w:rFonts w:ascii="仿宋_GB2312" w:hAnsi="Times New Roman" w:eastAsia="仿宋_GB2312" w:cs="仿宋_GB2312"/>
          <w:color w:val="353535"/>
          <w:kern w:val="0"/>
          <w:sz w:val="32"/>
          <w:szCs w:val="32"/>
        </w:rPr>
      </w:pPr>
    </w:p>
    <w:p>
      <w:pPr>
        <w:adjustRightInd w:val="0"/>
        <w:snapToGrid w:val="0"/>
        <w:spacing w:line="560" w:lineRule="exact"/>
        <w:ind w:firstLine="640" w:firstLineChars="200"/>
        <w:jc w:val="left"/>
        <w:rPr>
          <w:rFonts w:ascii="仿宋_GB2312" w:hAnsi="Times New Roman" w:eastAsia="仿宋_GB2312" w:cs="仿宋_GB2312"/>
          <w:color w:val="353535"/>
          <w:kern w:val="0"/>
          <w:sz w:val="32"/>
          <w:szCs w:val="32"/>
        </w:rPr>
      </w:pPr>
    </w:p>
    <w:p>
      <w:pPr>
        <w:pStyle w:val="13"/>
        <w:widowControl/>
        <w:spacing w:beforeAutospacing="0" w:after="0" w:afterAutospacing="0" w:line="324" w:lineRule="atLeast"/>
        <w:ind w:left="0" w:right="0" w:firstLine="0"/>
        <w:jc w:val="center"/>
        <w:rPr>
          <w:rFonts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54"/>
          <w:szCs w:val="54"/>
          <w:u w:val="none"/>
        </w:rPr>
        <w:t>第五部</w:t>
      </w:r>
      <w:r>
        <w:rPr>
          <w:rFonts w:hint="eastAsia" w:ascii="宋体" w:hAnsi="宋体" w:eastAsia="宋体" w:cs="宋体"/>
          <w:b w:val="0"/>
          <w:i w:val="0"/>
          <w:caps w:val="0"/>
          <w:color w:val="000000"/>
          <w:spacing w:val="0"/>
          <w:sz w:val="54"/>
          <w:szCs w:val="54"/>
          <w:u w:val="none"/>
        </w:rPr>
        <w:t>分</w:t>
      </w:r>
    </w:p>
    <w:p>
      <w:pPr>
        <w:pStyle w:val="13"/>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val="0"/>
          <w:i w:val="0"/>
          <w:caps w:val="0"/>
          <w:color w:val="000000"/>
          <w:spacing w:val="0"/>
          <w:sz w:val="54"/>
          <w:szCs w:val="54"/>
          <w:u w:val="none"/>
        </w:rPr>
        <w:t>附件</w:t>
      </w:r>
    </w:p>
    <w:p>
      <w:pPr>
        <w:pStyle w:val="13"/>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13"/>
        <w:widowControl/>
        <w:spacing w:beforeAutospacing="0" w:after="0" w:afterAutospacing="0" w:line="324" w:lineRule="atLeast"/>
        <w:ind w:left="0" w:right="0" w:firstLine="480"/>
        <w:rPr>
          <w:rFonts w:hint="default" w:ascii="-webkit-standard" w:hAnsi="-webkit-standard" w:eastAsia="-webkit-standard" w:cs="-webkit-standard"/>
          <w:b w:val="0"/>
          <w:i w:val="0"/>
          <w:caps w:val="0"/>
          <w:color w:val="000000"/>
          <w:spacing w:val="0"/>
          <w:sz w:val="27"/>
          <w:szCs w:val="27"/>
          <w:u w:val="none"/>
        </w:rPr>
      </w:pPr>
      <w:r>
        <w:rPr>
          <w:rFonts w:ascii="黑体" w:hAnsi="宋体" w:eastAsia="黑体" w:cs="黑体"/>
          <w:b w:val="0"/>
          <w:i w:val="0"/>
          <w:caps w:val="0"/>
          <w:color w:val="000000"/>
          <w:spacing w:val="0"/>
          <w:sz w:val="24"/>
          <w:szCs w:val="24"/>
          <w:u w:val="none"/>
        </w:rPr>
        <w:t>202</w:t>
      </w:r>
      <w:r>
        <w:rPr>
          <w:rFonts w:hint="default" w:ascii="黑体" w:hAnsi="宋体" w:eastAsia="黑体" w:cs="黑体"/>
          <w:b w:val="0"/>
          <w:i w:val="0"/>
          <w:caps w:val="0"/>
          <w:color w:val="000000"/>
          <w:spacing w:val="0"/>
          <w:sz w:val="24"/>
          <w:szCs w:val="24"/>
          <w:u w:val="none"/>
        </w:rPr>
        <w:t>0</w:t>
      </w:r>
      <w:r>
        <w:rPr>
          <w:rFonts w:hint="default" w:ascii="黑体" w:hAnsi="宋体" w:eastAsia="黑体" w:cs="黑体"/>
          <w:b w:val="0"/>
          <w:i w:val="0"/>
          <w:caps w:val="0"/>
          <w:color w:val="000000"/>
          <w:spacing w:val="0"/>
          <w:sz w:val="24"/>
          <w:szCs w:val="24"/>
          <w:u w:val="none"/>
        </w:rPr>
        <w:t>年度部门整体支出绩效评价报告</w:t>
      </w:r>
    </w:p>
    <w:p>
      <w:pPr>
        <w:pStyle w:val="13"/>
        <w:widowControl/>
        <w:spacing w:beforeAutospacing="0" w:after="0" w:afterAutospacing="0" w:line="324" w:lineRule="atLeast"/>
        <w:ind w:left="0" w:right="0" w:firstLine="480"/>
        <w:jc w:val="both"/>
        <w:rPr>
          <w:rFonts w:hint="default" w:ascii="-webkit-standard" w:hAnsi="-webkit-standard" w:eastAsia="-webkit-standard" w:cs="-webkit-standard"/>
          <w:b w:val="0"/>
          <w:i w:val="0"/>
          <w:caps w:val="0"/>
          <w:color w:val="000000"/>
          <w:spacing w:val="0"/>
          <w:sz w:val="27"/>
          <w:szCs w:val="27"/>
          <w:u w:val="none"/>
        </w:rPr>
      </w:pPr>
      <w:r>
        <w:rPr>
          <w:rFonts w:ascii="仿宋_GB2312" w:hAnsi="-webkit-standard" w:eastAsia="仿宋_GB2312" w:cs="仿宋_GB2312"/>
          <w:b w:val="0"/>
          <w:i w:val="0"/>
          <w:caps w:val="0"/>
          <w:color w:val="000000"/>
          <w:spacing w:val="0"/>
          <w:sz w:val="24"/>
          <w:szCs w:val="24"/>
          <w:u w:val="none"/>
        </w:rPr>
        <w:t>https://www.hn.jcy.gov.cn/xwfb/czxx/qtczxxgk/202106/1464909166928723968.html</w:t>
      </w:r>
    </w:p>
    <w:p>
      <w:pPr>
        <w:adjustRightInd w:val="0"/>
        <w:snapToGrid w:val="0"/>
        <w:spacing w:line="560" w:lineRule="exact"/>
        <w:ind w:firstLine="640" w:firstLineChars="200"/>
        <w:jc w:val="left"/>
        <w:rPr>
          <w:rFonts w:ascii="仿宋_GB2312" w:hAnsi="Times New Roman" w:eastAsia="仿宋_GB2312" w:cs="仿宋_GB2312"/>
          <w:color w:val="353535"/>
          <w:kern w:val="0"/>
          <w:sz w:val="32"/>
          <w:szCs w:val="32"/>
        </w:rPr>
      </w:pPr>
      <w:bookmarkStart w:id="34" w:name="_GoBack"/>
      <w:bookmarkEnd w:id="34"/>
    </w:p>
    <w:p>
      <w:pPr>
        <w:pStyle w:val="13"/>
        <w:adjustRightInd w:val="0"/>
        <w:snapToGrid w:val="0"/>
        <w:spacing w:before="0" w:beforeAutospacing="0" w:after="0" w:afterAutospacing="0" w:line="560" w:lineRule="exact"/>
        <w:jc w:val="both"/>
        <w:outlineLvl w:val="1"/>
        <w:rPr>
          <w:rStyle w:val="15"/>
          <w:rFonts w:ascii="楷体_GB2312" w:hAnsi="楷体" w:eastAsia="楷体_GB2312" w:cs="楷体"/>
          <w:b w:val="0"/>
          <w:sz w:val="32"/>
          <w:szCs w:val="32"/>
          <w:shd w:val="clear" w:color="auto" w:fill="FFFFFF"/>
        </w:rPr>
      </w:pPr>
    </w:p>
    <w:p>
      <w:pPr>
        <w:pStyle w:val="13"/>
        <w:adjustRightInd w:val="0"/>
        <w:snapToGrid w:val="0"/>
        <w:spacing w:before="0" w:beforeAutospacing="0" w:after="0" w:afterAutospacing="0" w:line="560" w:lineRule="exact"/>
        <w:ind w:firstLine="640" w:firstLineChars="200"/>
        <w:jc w:val="both"/>
        <w:outlineLvl w:val="1"/>
        <w:rPr>
          <w:rStyle w:val="15"/>
          <w:rFonts w:ascii="楷体_GB2312" w:hAnsi="楷体" w:eastAsia="楷体_GB2312" w:cs="楷体"/>
          <w:b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00000000" w:usb1="00000000" w:usb2="00000016" w:usb3="00000000" w:csb0="00040001" w:csb1="00000000"/>
  </w:font>
  <w:font w:name="-webkit-standard">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B5A1"/>
    <w:multiLevelType w:val="singleLevel"/>
    <w:tmpl w:val="2D8BB5A1"/>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spaceForUL/>
    <w:ulTrailSpac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
  </w:docVar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Calibri" w:hAnsi="Calibri" w:eastAsia="宋体" w:cs="宋体"/>
      <w:kern w:val="2"/>
      <w:sz w:val="21"/>
      <w:szCs w:val="21"/>
      <w:lang w:val="en-US" w:eastAsia="zh-CN" w:bidi="ar-SA"/>
    </w:rPr>
  </w:style>
  <w:style w:type="paragraph" w:styleId="2">
    <w:name w:val="heading 1"/>
    <w:basedOn w:val="1"/>
    <w:next w:val="1"/>
    <w:link w:val="20"/>
    <w:qFormat/>
    <w:uiPriority w:val="99"/>
    <w:pPr>
      <w:spacing w:before="100" w:beforeAutospacing="1" w:after="100" w:afterAutospacing="1"/>
      <w:jc w:val="left"/>
      <w:outlineLvl w:val="0"/>
    </w:pPr>
    <w:rPr>
      <w:rFonts w:ascii="宋体" w:hAnsi="宋体" w:cs="Times New Roman"/>
      <w:b/>
      <w:kern w:val="44"/>
      <w:sz w:val="48"/>
      <w:szCs w:val="48"/>
    </w:rPr>
  </w:style>
  <w:style w:type="paragraph" w:styleId="3">
    <w:name w:val="heading 2"/>
    <w:basedOn w:val="1"/>
    <w:next w:val="1"/>
    <w:link w:val="21"/>
    <w:qFormat/>
    <w:uiPriority w:val="99"/>
    <w:pPr>
      <w:spacing w:before="100" w:beforeAutospacing="1" w:after="100" w:afterAutospacing="1"/>
      <w:jc w:val="left"/>
      <w:outlineLvl w:val="1"/>
    </w:pPr>
    <w:rPr>
      <w:rFonts w:ascii="宋体" w:hAnsi="宋体" w:cs="Times New Roman"/>
      <w:b/>
      <w:kern w:val="0"/>
      <w:sz w:val="36"/>
      <w:szCs w:val="36"/>
    </w:rPr>
  </w:style>
  <w:style w:type="paragraph" w:styleId="4">
    <w:name w:val="heading 3"/>
    <w:basedOn w:val="1"/>
    <w:next w:val="1"/>
    <w:link w:val="22"/>
    <w:qFormat/>
    <w:uiPriority w:val="99"/>
    <w:pPr>
      <w:spacing w:before="100" w:beforeAutospacing="1" w:after="100" w:afterAutospacing="1"/>
      <w:jc w:val="left"/>
      <w:outlineLvl w:val="2"/>
    </w:pPr>
    <w:rPr>
      <w:rFonts w:ascii="宋体" w:hAnsi="宋体" w:cs="Times New Roman"/>
      <w:b/>
      <w:kern w:val="0"/>
      <w:sz w:val="27"/>
      <w:szCs w:val="27"/>
    </w:rPr>
  </w:style>
  <w:style w:type="paragraph" w:styleId="5">
    <w:name w:val="heading 4"/>
    <w:basedOn w:val="1"/>
    <w:next w:val="1"/>
    <w:link w:val="23"/>
    <w:qFormat/>
    <w:uiPriority w:val="99"/>
    <w:pPr>
      <w:spacing w:before="100" w:beforeAutospacing="1" w:after="100" w:afterAutospacing="1"/>
      <w:jc w:val="left"/>
      <w:outlineLvl w:val="3"/>
    </w:pPr>
    <w:rPr>
      <w:rFonts w:ascii="宋体" w:hAnsi="宋体" w:cs="Times New Roman"/>
      <w:b/>
      <w:kern w:val="0"/>
      <w:sz w:val="24"/>
      <w:szCs w:val="24"/>
    </w:rPr>
  </w:style>
  <w:style w:type="paragraph" w:styleId="6">
    <w:name w:val="heading 5"/>
    <w:basedOn w:val="1"/>
    <w:next w:val="1"/>
    <w:link w:val="24"/>
    <w:qFormat/>
    <w:uiPriority w:val="99"/>
    <w:pPr>
      <w:spacing w:before="100" w:beforeAutospacing="1" w:after="100" w:afterAutospacing="1"/>
      <w:jc w:val="left"/>
      <w:outlineLvl w:val="4"/>
    </w:pPr>
    <w:rPr>
      <w:rFonts w:ascii="宋体" w:hAnsi="宋体" w:cs="Times New Roman"/>
      <w:b/>
      <w:kern w:val="0"/>
      <w:sz w:val="20"/>
      <w:szCs w:val="20"/>
    </w:rPr>
  </w:style>
  <w:style w:type="paragraph" w:styleId="7">
    <w:name w:val="heading 6"/>
    <w:basedOn w:val="1"/>
    <w:next w:val="1"/>
    <w:link w:val="25"/>
    <w:qFormat/>
    <w:uiPriority w:val="99"/>
    <w:pPr>
      <w:spacing w:before="100" w:beforeAutospacing="1" w:after="100" w:afterAutospacing="1"/>
      <w:jc w:val="left"/>
      <w:outlineLvl w:val="5"/>
    </w:pPr>
    <w:rPr>
      <w:rFonts w:ascii="宋体" w:hAnsi="宋体" w:cs="Times New Roman"/>
      <w:b/>
      <w:kern w:val="0"/>
      <w:sz w:val="15"/>
      <w:szCs w:val="15"/>
    </w:rPr>
  </w:style>
  <w:style w:type="character" w:default="1" w:styleId="14">
    <w:name w:val="Default Paragraph Font"/>
    <w:semiHidden/>
    <w:qFormat/>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8">
    <w:name w:val="footer"/>
    <w:basedOn w:val="1"/>
    <w:link w:val="26"/>
    <w:qFormat/>
    <w:uiPriority w:val="99"/>
    <w:pPr>
      <w:tabs>
        <w:tab w:val="center" w:pos="4153"/>
        <w:tab w:val="right" w:pos="8306"/>
      </w:tabs>
      <w:snapToGrid w:val="0"/>
      <w:jc w:val="left"/>
    </w:pPr>
    <w:rPr>
      <w:rFonts w:ascii="宋体" w:hAnsi="宋体" w:cs="Times New Roman"/>
      <w:kern w:val="0"/>
      <w:sz w:val="18"/>
      <w:szCs w:val="24"/>
    </w:rPr>
  </w:style>
  <w:style w:type="paragraph" w:styleId="9">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宋体" w:hAnsi="宋体" w:cs="Times New Roman"/>
      <w:kern w:val="0"/>
      <w:sz w:val="18"/>
      <w:szCs w:val="24"/>
    </w:rPr>
  </w:style>
  <w:style w:type="paragraph" w:styleId="10">
    <w:name w:val="toc 1"/>
    <w:basedOn w:val="1"/>
    <w:next w:val="1"/>
    <w:qFormat/>
    <w:uiPriority w:val="99"/>
    <w:pPr>
      <w:jc w:val="left"/>
    </w:pPr>
    <w:rPr>
      <w:rFonts w:ascii="宋体" w:hAnsi="宋体" w:cs="Times New Roman"/>
      <w:kern w:val="0"/>
      <w:sz w:val="24"/>
      <w:szCs w:val="24"/>
    </w:rPr>
  </w:style>
  <w:style w:type="paragraph" w:styleId="11">
    <w:name w:val="toc 2"/>
    <w:basedOn w:val="1"/>
    <w:next w:val="1"/>
    <w:qFormat/>
    <w:uiPriority w:val="99"/>
    <w:pPr>
      <w:ind w:left="420" w:leftChars="200"/>
      <w:jc w:val="left"/>
    </w:pPr>
    <w:rPr>
      <w:rFonts w:ascii="宋体" w:hAnsi="宋体" w:cs="Times New Roman"/>
      <w:kern w:val="0"/>
      <w:sz w:val="24"/>
      <w:szCs w:val="24"/>
    </w:rPr>
  </w:style>
  <w:style w:type="paragraph" w:styleId="12">
    <w:name w:val="HTML Preformatted"/>
    <w:basedOn w:val="1"/>
    <w:link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3">
    <w:name w:val="Normal (Web)"/>
    <w:basedOn w:val="1"/>
    <w:qFormat/>
    <w:uiPriority w:val="99"/>
    <w:pPr>
      <w:spacing w:before="100" w:beforeAutospacing="1" w:after="100" w:afterAutospacing="1"/>
      <w:jc w:val="left"/>
    </w:pPr>
    <w:rPr>
      <w:rFonts w:ascii="宋体" w:hAnsi="宋体" w:cs="Times New Roman"/>
      <w:kern w:val="0"/>
      <w:sz w:val="24"/>
      <w:szCs w:val="24"/>
    </w:rPr>
  </w:style>
  <w:style w:type="character" w:styleId="15">
    <w:name w:val="Strong"/>
    <w:basedOn w:val="14"/>
    <w:qFormat/>
    <w:uiPriority w:val="99"/>
    <w:rPr>
      <w:rFonts w:cs="Times New Roman"/>
      <w:b/>
    </w:rPr>
  </w:style>
  <w:style w:type="character" w:styleId="16">
    <w:name w:val="FollowedHyperlink"/>
    <w:basedOn w:val="14"/>
    <w:semiHidden/>
    <w:qFormat/>
    <w:uiPriority w:val="99"/>
    <w:rPr>
      <w:rFonts w:cs="Times New Roman"/>
      <w:color w:val="800080"/>
      <w:u w:val="single"/>
    </w:rPr>
  </w:style>
  <w:style w:type="character" w:styleId="17">
    <w:name w:val="Emphasis"/>
    <w:basedOn w:val="14"/>
    <w:qFormat/>
    <w:uiPriority w:val="99"/>
    <w:rPr>
      <w:rFonts w:cs="Times New Roman"/>
      <w:i/>
    </w:rPr>
  </w:style>
  <w:style w:type="character" w:styleId="18">
    <w:name w:val="Hyperlink"/>
    <w:basedOn w:val="14"/>
    <w:semiHidden/>
    <w:qFormat/>
    <w:uiPriority w:val="99"/>
    <w:rPr>
      <w:rFonts w:cs="Times New Roman"/>
      <w:color w:val="0000FF"/>
      <w:u w:val="single"/>
    </w:rPr>
  </w:style>
  <w:style w:type="character" w:customStyle="1" w:styleId="20">
    <w:name w:val="Heading 1 Char"/>
    <w:basedOn w:val="14"/>
    <w:link w:val="2"/>
    <w:qFormat/>
    <w:uiPriority w:val="9"/>
    <w:rPr>
      <w:rFonts w:ascii="宋体" w:hAnsi="宋体"/>
      <w:b/>
      <w:bCs/>
      <w:kern w:val="44"/>
      <w:sz w:val="44"/>
      <w:szCs w:val="44"/>
    </w:rPr>
  </w:style>
  <w:style w:type="character" w:customStyle="1" w:styleId="21">
    <w:name w:val="Heading 2 Char"/>
    <w:basedOn w:val="14"/>
    <w:link w:val="3"/>
    <w:semiHidden/>
    <w:qFormat/>
    <w:uiPriority w:val="9"/>
    <w:rPr>
      <w:rFonts w:asciiTheme="majorHAnsi" w:hAnsiTheme="majorHAnsi" w:eastAsiaTheme="majorEastAsia" w:cstheme="majorBidi"/>
      <w:b/>
      <w:bCs/>
      <w:kern w:val="0"/>
      <w:sz w:val="32"/>
      <w:szCs w:val="32"/>
    </w:rPr>
  </w:style>
  <w:style w:type="character" w:customStyle="1" w:styleId="22">
    <w:name w:val="Heading 3 Char"/>
    <w:basedOn w:val="14"/>
    <w:link w:val="4"/>
    <w:semiHidden/>
    <w:qFormat/>
    <w:uiPriority w:val="9"/>
    <w:rPr>
      <w:rFonts w:ascii="宋体" w:hAnsi="宋体"/>
      <w:b/>
      <w:bCs/>
      <w:kern w:val="0"/>
      <w:sz w:val="32"/>
      <w:szCs w:val="32"/>
    </w:rPr>
  </w:style>
  <w:style w:type="character" w:customStyle="1" w:styleId="23">
    <w:name w:val="Heading 4 Char"/>
    <w:basedOn w:val="14"/>
    <w:link w:val="5"/>
    <w:semiHidden/>
    <w:qFormat/>
    <w:uiPriority w:val="9"/>
    <w:rPr>
      <w:rFonts w:asciiTheme="majorHAnsi" w:hAnsiTheme="majorHAnsi" w:eastAsiaTheme="majorEastAsia" w:cstheme="majorBidi"/>
      <w:b/>
      <w:bCs/>
      <w:kern w:val="0"/>
      <w:sz w:val="28"/>
      <w:szCs w:val="28"/>
    </w:rPr>
  </w:style>
  <w:style w:type="character" w:customStyle="1" w:styleId="24">
    <w:name w:val="Heading 5 Char"/>
    <w:basedOn w:val="14"/>
    <w:link w:val="6"/>
    <w:semiHidden/>
    <w:qFormat/>
    <w:uiPriority w:val="9"/>
    <w:rPr>
      <w:rFonts w:ascii="宋体" w:hAnsi="宋体"/>
      <w:b/>
      <w:bCs/>
      <w:kern w:val="0"/>
      <w:sz w:val="28"/>
      <w:szCs w:val="28"/>
    </w:rPr>
  </w:style>
  <w:style w:type="character" w:customStyle="1" w:styleId="25">
    <w:name w:val="Heading 6 Char"/>
    <w:basedOn w:val="14"/>
    <w:link w:val="7"/>
    <w:semiHidden/>
    <w:qFormat/>
    <w:uiPriority w:val="9"/>
    <w:rPr>
      <w:rFonts w:asciiTheme="majorHAnsi" w:hAnsiTheme="majorHAnsi" w:eastAsiaTheme="majorEastAsia" w:cstheme="majorBidi"/>
      <w:b/>
      <w:bCs/>
      <w:kern w:val="0"/>
      <w:sz w:val="24"/>
      <w:szCs w:val="24"/>
    </w:rPr>
  </w:style>
  <w:style w:type="character" w:customStyle="1" w:styleId="26">
    <w:name w:val="Footer Char"/>
    <w:basedOn w:val="14"/>
    <w:link w:val="8"/>
    <w:semiHidden/>
    <w:qFormat/>
    <w:uiPriority w:val="99"/>
    <w:rPr>
      <w:rFonts w:ascii="宋体" w:hAnsi="宋体"/>
      <w:kern w:val="0"/>
      <w:sz w:val="18"/>
      <w:szCs w:val="18"/>
    </w:rPr>
  </w:style>
  <w:style w:type="character" w:customStyle="1" w:styleId="27">
    <w:name w:val="Header Char"/>
    <w:basedOn w:val="14"/>
    <w:link w:val="9"/>
    <w:semiHidden/>
    <w:qFormat/>
    <w:uiPriority w:val="99"/>
    <w:rPr>
      <w:rFonts w:ascii="宋体" w:hAnsi="宋体"/>
      <w:kern w:val="0"/>
      <w:sz w:val="18"/>
      <w:szCs w:val="18"/>
    </w:rPr>
  </w:style>
  <w:style w:type="character" w:customStyle="1" w:styleId="28">
    <w:name w:val="HTML Preformatted Char"/>
    <w:basedOn w:val="14"/>
    <w:link w:val="12"/>
    <w:semiHidden/>
    <w:qFormat/>
    <w:uiPriority w:val="99"/>
    <w:rPr>
      <w:rFonts w:ascii="Courier New" w:hAnsi="Courier New" w:cs="Courier New"/>
      <w:kern w:val="0"/>
      <w:sz w:val="20"/>
      <w:szCs w:val="20"/>
    </w:rPr>
  </w:style>
  <w:style w:type="character" w:customStyle="1" w:styleId="29">
    <w:name w:val="bsharetext"/>
    <w:basedOn w:val="14"/>
    <w:qFormat/>
    <w:uiPriority w:val="99"/>
    <w:rPr>
      <w:rFonts w:cs="Times New Roman"/>
    </w:rPr>
  </w:style>
  <w:style w:type="character" w:customStyle="1" w:styleId="30">
    <w:name w:val="p12_blue"/>
    <w:basedOn w:val="14"/>
    <w:qFormat/>
    <w:uiPriority w:val="99"/>
    <w:rPr>
      <w:rFonts w:cs="Times New Roman"/>
    </w:rPr>
  </w:style>
  <w:style w:type="paragraph" w:customStyle="1" w:styleId="31">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32">
    <w:name w:val="分类号"/>
    <w:basedOn w:val="1"/>
    <w:qFormat/>
    <w:uiPriority w:val="99"/>
    <w:pPr>
      <w:widowControl w:val="0"/>
    </w:pPr>
    <w:rPr>
      <w:rFonts w:ascii="仿宋_GB2312" w:hAnsi="Times New Roman" w:eastAsia="仿宋_GB2312" w:cs="Times New Roman"/>
      <w:sz w:val="28"/>
      <w:szCs w:val="28"/>
    </w:rPr>
  </w:style>
  <w:style w:type="paragraph" w:customStyle="1" w:styleId="33">
    <w:name w:val="封面日期"/>
    <w:basedOn w:val="1"/>
    <w:qFormat/>
    <w:uiPriority w:val="99"/>
    <w:pPr>
      <w:widowControl w:val="0"/>
      <w:jc w:val="center"/>
    </w:pPr>
    <w:rPr>
      <w:rFonts w:ascii="黑体" w:hAnsi="Times New Roman" w:eastAsia="黑体" w:cs="Times New Roman"/>
      <w:sz w:val="32"/>
      <w:szCs w:val="32"/>
    </w:rPr>
  </w:style>
  <w:style w:type="paragraph" w:customStyle="1" w:styleId="34">
    <w:name w:val="论文标题"/>
    <w:basedOn w:val="1"/>
    <w:qFormat/>
    <w:uiPriority w:val="99"/>
    <w:pPr>
      <w:widowControl w:val="0"/>
      <w:jc w:val="center"/>
    </w:pPr>
    <w:rPr>
      <w:rFonts w:ascii="Times New Roman" w:hAnsi="Times New Roman" w:eastAsia="楷体_GB2312" w:cs="Times New Roman"/>
      <w:b/>
      <w:kern w:val="36"/>
      <w:sz w:val="52"/>
      <w:szCs w:val="52"/>
    </w:rPr>
  </w:style>
  <w:style w:type="paragraph" w:customStyle="1" w:styleId="35">
    <w:name w:val="普通(网站)1"/>
    <w:basedOn w:val="1"/>
    <w:qFormat/>
    <w:uiPriority w:val="99"/>
    <w:pPr>
      <w:spacing w:before="100" w:beforeAutospacing="1" w:after="100" w:afterAutospacing="1"/>
      <w:jc w:val="left"/>
    </w:pPr>
    <w:rPr>
      <w:rFonts w:ascii="宋体" w:hAnsi="宋体" w:cs="Times New Roman"/>
      <w:kern w:val="0"/>
      <w:sz w:val="24"/>
      <w:szCs w:val="24"/>
    </w:rPr>
  </w:style>
  <w:style w:type="paragraph" w:customStyle="1" w:styleId="36">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37">
    <w:name w:val="硕士学位论文"/>
    <w:basedOn w:val="1"/>
    <w:qFormat/>
    <w:uiPriority w:val="99"/>
    <w:pPr>
      <w:widowControl w:val="0"/>
      <w:spacing w:before="240"/>
      <w:jc w:val="center"/>
    </w:pPr>
    <w:rPr>
      <w:rFonts w:ascii="Times New Roman" w:hAnsi="Times New Roman" w:cs="Times New Roman"/>
      <w:sz w:val="44"/>
      <w:szCs w:val="44"/>
    </w:rPr>
  </w:style>
  <w:style w:type="paragraph" w:customStyle="1" w:styleId="38">
    <w:name w:val="研究生姓名"/>
    <w:basedOn w:val="1"/>
    <w:qFormat/>
    <w:uiPriority w:val="99"/>
    <w:pPr>
      <w:widowControl w:val="0"/>
      <w:ind w:firstLine="700" w:firstLineChars="700"/>
    </w:pPr>
    <w:rPr>
      <w:rFonts w:ascii="Times New Roman" w:hAnsi="Times New Roman" w:cs="Times New Roman"/>
      <w:sz w:val="28"/>
      <w:szCs w:val="28"/>
    </w:rPr>
  </w:style>
  <w:style w:type="paragraph" w:customStyle="1" w:styleId="3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40">
    <w:name w:val="xl65"/>
    <w:basedOn w:val="1"/>
    <w:qFormat/>
    <w:uiPriority w:val="99"/>
    <w:pPr>
      <w:shd w:val="clear" w:color="000000" w:fill="FFFFFF"/>
      <w:spacing w:before="100" w:beforeAutospacing="1" w:after="100" w:afterAutospacing="1"/>
      <w:jc w:val="left"/>
      <w:textAlignment w:val="center"/>
    </w:pPr>
    <w:rPr>
      <w:rFonts w:ascii="宋体" w:hAnsi="宋体"/>
      <w:kern w:val="0"/>
      <w:sz w:val="18"/>
      <w:szCs w:val="18"/>
    </w:rPr>
  </w:style>
  <w:style w:type="paragraph" w:customStyle="1" w:styleId="41">
    <w:name w:val="xl66"/>
    <w:basedOn w:val="1"/>
    <w:qFormat/>
    <w:uiPriority w:val="99"/>
    <w:pPr>
      <w:pBdr>
        <w:right w:val="single" w:color="808080" w:sz="4" w:space="0"/>
      </w:pBdr>
      <w:shd w:val="clear" w:color="000000" w:fill="FFFFFF"/>
      <w:spacing w:before="100" w:beforeAutospacing="1" w:after="100" w:afterAutospacing="1"/>
      <w:jc w:val="right"/>
      <w:textAlignment w:val="center"/>
    </w:pPr>
    <w:rPr>
      <w:rFonts w:ascii="宋体" w:hAnsi="宋体"/>
      <w:color w:val="000000"/>
      <w:kern w:val="0"/>
      <w:sz w:val="22"/>
      <w:szCs w:val="22"/>
    </w:rPr>
  </w:style>
  <w:style w:type="paragraph" w:customStyle="1" w:styleId="42">
    <w:name w:val="xl67"/>
    <w:basedOn w:val="1"/>
    <w:qFormat/>
    <w:uiPriority w:val="99"/>
    <w:pPr>
      <w:pBdr>
        <w:bottom w:val="single" w:color="808080" w:sz="4" w:space="0"/>
      </w:pBdr>
      <w:shd w:val="clear" w:color="000000" w:fill="FFFFFF"/>
      <w:spacing w:before="100" w:beforeAutospacing="1" w:after="100" w:afterAutospacing="1"/>
      <w:jc w:val="left"/>
      <w:textAlignment w:val="center"/>
    </w:pPr>
    <w:rPr>
      <w:rFonts w:ascii="宋体" w:hAnsi="宋体"/>
      <w:color w:val="000000"/>
      <w:kern w:val="0"/>
      <w:sz w:val="22"/>
      <w:szCs w:val="22"/>
    </w:rPr>
  </w:style>
  <w:style w:type="paragraph" w:customStyle="1" w:styleId="43">
    <w:name w:val="xl68"/>
    <w:basedOn w:val="1"/>
    <w:qFormat/>
    <w:uiPriority w:val="99"/>
    <w:pPr>
      <w:pBdr>
        <w:bottom w:val="single" w:color="808080" w:sz="4" w:space="0"/>
      </w:pBdr>
      <w:shd w:val="clear" w:color="000000" w:fill="FFFFFF"/>
      <w:spacing w:before="100" w:beforeAutospacing="1" w:after="100" w:afterAutospacing="1"/>
      <w:jc w:val="left"/>
      <w:textAlignment w:val="center"/>
    </w:pPr>
    <w:rPr>
      <w:rFonts w:ascii="宋体" w:hAnsi="宋体"/>
      <w:kern w:val="0"/>
      <w:sz w:val="18"/>
      <w:szCs w:val="18"/>
    </w:rPr>
  </w:style>
  <w:style w:type="paragraph" w:customStyle="1" w:styleId="44">
    <w:name w:val="xl69"/>
    <w:basedOn w:val="1"/>
    <w:qFormat/>
    <w:uiPriority w:val="99"/>
    <w:pPr>
      <w:pBdr>
        <w:bottom w:val="single" w:color="808080" w:sz="4" w:space="0"/>
        <w:right w:val="single" w:color="808080" w:sz="4" w:space="0"/>
      </w:pBdr>
      <w:shd w:val="clear" w:color="000000" w:fill="FFFFFF"/>
      <w:spacing w:before="100" w:beforeAutospacing="1" w:after="100" w:afterAutospacing="1"/>
      <w:jc w:val="right"/>
      <w:textAlignment w:val="center"/>
    </w:pPr>
    <w:rPr>
      <w:rFonts w:ascii="宋体" w:hAnsi="宋体"/>
      <w:color w:val="000000"/>
      <w:kern w:val="0"/>
      <w:sz w:val="22"/>
      <w:szCs w:val="22"/>
    </w:rPr>
  </w:style>
  <w:style w:type="paragraph" w:customStyle="1" w:styleId="45">
    <w:name w:val="xl70"/>
    <w:basedOn w:val="1"/>
    <w:qFormat/>
    <w:uiPriority w:val="99"/>
    <w:pPr>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kern w:val="0"/>
      <w:sz w:val="24"/>
      <w:szCs w:val="24"/>
    </w:rPr>
  </w:style>
  <w:style w:type="paragraph" w:customStyle="1" w:styleId="46">
    <w:name w:val="xl71"/>
    <w:basedOn w:val="1"/>
    <w:qFormat/>
    <w:uiPriority w:val="99"/>
    <w:pPr>
      <w:pBdr>
        <w:bottom w:val="single" w:color="808080" w:sz="4" w:space="0"/>
      </w:pBdr>
      <w:shd w:val="clear" w:color="000000" w:fill="FFFFFF"/>
      <w:spacing w:before="100" w:beforeAutospacing="1" w:after="100" w:afterAutospacing="1"/>
      <w:jc w:val="center"/>
      <w:textAlignment w:val="center"/>
    </w:pPr>
    <w:rPr>
      <w:rFonts w:ascii="宋体" w:hAnsi="宋体"/>
      <w:color w:val="000000"/>
      <w:kern w:val="0"/>
      <w:sz w:val="22"/>
      <w:szCs w:val="22"/>
    </w:rPr>
  </w:style>
  <w:style w:type="paragraph" w:customStyle="1" w:styleId="47">
    <w:name w:val="xl72"/>
    <w:basedOn w:val="1"/>
    <w:qFormat/>
    <w:uiPriority w:val="99"/>
    <w:pPr>
      <w:pBdr>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kern w:val="0"/>
      <w:sz w:val="24"/>
      <w:szCs w:val="24"/>
    </w:rPr>
  </w:style>
  <w:style w:type="paragraph" w:customStyle="1" w:styleId="48">
    <w:name w:val="xl73"/>
    <w:basedOn w:val="1"/>
    <w:qFormat/>
    <w:uiPriority w:val="99"/>
    <w:pPr>
      <w:pBdr>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b/>
      <w:bCs/>
      <w:kern w:val="0"/>
      <w:sz w:val="24"/>
      <w:szCs w:val="24"/>
    </w:rPr>
  </w:style>
  <w:style w:type="paragraph" w:customStyle="1" w:styleId="49">
    <w:name w:val="xl74"/>
    <w:basedOn w:val="1"/>
    <w:qFormat/>
    <w:uiPriority w:val="99"/>
    <w:pPr>
      <w:pBdr>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b/>
      <w:bCs/>
      <w:kern w:val="0"/>
      <w:sz w:val="24"/>
      <w:szCs w:val="24"/>
    </w:rPr>
  </w:style>
  <w:style w:type="paragraph" w:customStyle="1" w:styleId="50">
    <w:name w:val="xl75"/>
    <w:basedOn w:val="1"/>
    <w:qFormat/>
    <w:uiPriority w:val="99"/>
    <w:pPr>
      <w:pBdr>
        <w:bottom w:val="single" w:color="000000" w:sz="4" w:space="0"/>
        <w:right w:val="single" w:color="000000" w:sz="4" w:space="0"/>
      </w:pBdr>
      <w:shd w:val="clear" w:color="000000" w:fill="C0C0C0"/>
      <w:spacing w:before="100" w:beforeAutospacing="1" w:after="100" w:afterAutospacing="1"/>
      <w:jc w:val="right"/>
      <w:textAlignment w:val="center"/>
    </w:pPr>
    <w:rPr>
      <w:rFonts w:ascii="宋体" w:hAnsi="宋体"/>
      <w:b/>
      <w:bCs/>
      <w:kern w:val="0"/>
      <w:sz w:val="24"/>
      <w:szCs w:val="24"/>
    </w:rPr>
  </w:style>
  <w:style w:type="paragraph" w:customStyle="1" w:styleId="51">
    <w:name w:val="xl76"/>
    <w:basedOn w:val="1"/>
    <w:qFormat/>
    <w:uiPriority w:val="99"/>
    <w:pPr>
      <w:pBdr>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b/>
      <w:bCs/>
      <w:kern w:val="0"/>
      <w:sz w:val="18"/>
      <w:szCs w:val="18"/>
    </w:rPr>
  </w:style>
  <w:style w:type="paragraph" w:customStyle="1" w:styleId="52">
    <w:name w:val="xl77"/>
    <w:basedOn w:val="1"/>
    <w:qFormat/>
    <w:uiPriority w:val="99"/>
    <w:pPr>
      <w:pBdr>
        <w:bottom w:val="single" w:color="000000" w:sz="4" w:space="0"/>
        <w:right w:val="single" w:color="000000" w:sz="4" w:space="0"/>
      </w:pBdr>
      <w:shd w:val="clear" w:color="000000" w:fill="CCFFFF"/>
      <w:spacing w:before="100" w:beforeAutospacing="1" w:after="100" w:afterAutospacing="1"/>
      <w:jc w:val="left"/>
      <w:textAlignment w:val="center"/>
    </w:pPr>
    <w:rPr>
      <w:rFonts w:ascii="宋体" w:hAnsi="宋体"/>
      <w:kern w:val="0"/>
      <w:sz w:val="24"/>
      <w:szCs w:val="24"/>
    </w:rPr>
  </w:style>
  <w:style w:type="paragraph" w:customStyle="1" w:styleId="53">
    <w:name w:val="xl78"/>
    <w:basedOn w:val="1"/>
    <w:qFormat/>
    <w:uiPriority w:val="99"/>
    <w:pPr>
      <w:pBdr>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kern w:val="0"/>
      <w:sz w:val="24"/>
      <w:szCs w:val="24"/>
    </w:rPr>
  </w:style>
  <w:style w:type="paragraph" w:customStyle="1" w:styleId="54">
    <w:name w:val="xl79"/>
    <w:basedOn w:val="1"/>
    <w:qFormat/>
    <w:uiPriority w:val="99"/>
    <w:pPr>
      <w:pBdr>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55">
    <w:name w:val="xl80"/>
    <w:basedOn w:val="1"/>
    <w:qFormat/>
    <w:uiPriority w:val="99"/>
    <w:pPr>
      <w:pBdr>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56">
    <w:name w:val="xl81"/>
    <w:basedOn w:val="1"/>
    <w:qFormat/>
    <w:uiPriority w:val="99"/>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kern w:val="0"/>
      <w:sz w:val="24"/>
      <w:szCs w:val="24"/>
    </w:rPr>
  </w:style>
  <w:style w:type="paragraph" w:customStyle="1" w:styleId="57">
    <w:name w:val="xl82"/>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58">
    <w:name w:val="xl83"/>
    <w:basedOn w:val="1"/>
    <w:qFormat/>
    <w:uiPriority w:val="99"/>
    <w:pPr>
      <w:pBdr>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kern w:val="0"/>
      <w:sz w:val="24"/>
      <w:szCs w:val="24"/>
    </w:rPr>
  </w:style>
  <w:style w:type="paragraph" w:customStyle="1" w:styleId="59">
    <w:name w:val="xl84"/>
    <w:basedOn w:val="1"/>
    <w:qFormat/>
    <w:uiPriority w:val="99"/>
    <w:pPr>
      <w:pBdr>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60">
    <w:name w:val="xl85"/>
    <w:basedOn w:val="1"/>
    <w:qFormat/>
    <w:uiPriority w:val="99"/>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kern w:val="0"/>
      <w:sz w:val="24"/>
      <w:szCs w:val="24"/>
    </w:rPr>
  </w:style>
  <w:style w:type="paragraph" w:customStyle="1" w:styleId="61">
    <w:name w:val="xl86"/>
    <w:basedOn w:val="1"/>
    <w:qFormat/>
    <w:uiPriority w:val="99"/>
    <w:pPr>
      <w:pBdr>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62">
    <w:name w:val="xl87"/>
    <w:basedOn w:val="1"/>
    <w:qFormat/>
    <w:uiPriority w:val="99"/>
    <w:pPr>
      <w:pBdr>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b/>
      <w:bCs/>
      <w:kern w:val="0"/>
      <w:sz w:val="24"/>
      <w:szCs w:val="24"/>
    </w:rPr>
  </w:style>
  <w:style w:type="paragraph" w:customStyle="1" w:styleId="63">
    <w:name w:val="xl88"/>
    <w:basedOn w:val="1"/>
    <w:qFormat/>
    <w:uiPriority w:val="99"/>
    <w:pPr>
      <w:pBdr>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64">
    <w:name w:val="xl89"/>
    <w:basedOn w:val="1"/>
    <w:qFormat/>
    <w:uiPriority w:val="99"/>
    <w:pPr>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kern w:val="0"/>
      <w:sz w:val="24"/>
      <w:szCs w:val="24"/>
    </w:rPr>
  </w:style>
  <w:style w:type="paragraph" w:customStyle="1" w:styleId="65">
    <w:name w:val="xl90"/>
    <w:basedOn w:val="1"/>
    <w:qFormat/>
    <w:uiPriority w:val="99"/>
    <w:pPr>
      <w:shd w:val="clear" w:color="000000" w:fill="FFFFFF"/>
      <w:spacing w:before="100" w:beforeAutospacing="1" w:after="100" w:afterAutospacing="1"/>
      <w:jc w:val="left"/>
      <w:textAlignment w:val="center"/>
    </w:pPr>
    <w:rPr>
      <w:rFonts w:ascii="宋体" w:hAnsi="宋体"/>
      <w:kern w:val="0"/>
      <w:sz w:val="24"/>
      <w:szCs w:val="24"/>
    </w:rPr>
  </w:style>
  <w:style w:type="paragraph" w:customStyle="1" w:styleId="66">
    <w:name w:val="xl91"/>
    <w:basedOn w:val="1"/>
    <w:qFormat/>
    <w:uiPriority w:val="99"/>
    <w:pPr>
      <w:spacing w:before="100" w:beforeAutospacing="1" w:after="100" w:afterAutospacing="1"/>
      <w:jc w:val="left"/>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28</Pages>
  <Words>9086</Words>
  <Characters>12163</Characters>
  <Lines>0</Lines>
  <Paragraphs>0</Paragraphs>
  <TotalTime>0</TotalTime>
  <ScaleCrop>false</ScaleCrop>
  <LinksUpToDate>false</LinksUpToDate>
  <CharactersWithSpaces>12595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2021-08-20T08:42:00Z</dcterms:created>
  <dc:creator>xiaofei li</dc:creator>
  <cp:lastModifiedBy>iPhone</cp:lastModifiedBy>
  <cp:lastPrinted>2021-08-25T16:53:00Z</cp:lastPrinted>
  <dcterms:modified xsi:type="dcterms:W3CDTF">2022-09-23T21:39:57Z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2052-11.29.2</vt:lpwstr>
  </property>
  <property fmtid="{D5CDD505-2E9C-101B-9397-08002B2CF9AE}" pid="3" name="ICV">
    <vt:lpwstr>0535D5566A9249008B10FED85C80B4BE</vt:lpwstr>
  </property>
</Properties>
</file>