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cs="Times New Roman"/>
          <w:sz w:val="56"/>
          <w:szCs w:val="56"/>
        </w:rPr>
      </w:pPr>
    </w:p>
    <w:p>
      <w:pPr>
        <w:pStyle w:val="15"/>
        <w:jc w:val="center"/>
        <w:rPr>
          <w:rFonts w:cs="Times New Roman"/>
          <w:sz w:val="56"/>
          <w:szCs w:val="56"/>
        </w:rPr>
      </w:pPr>
    </w:p>
    <w:p>
      <w:pPr>
        <w:pStyle w:val="15"/>
        <w:jc w:val="center"/>
        <w:rPr>
          <w:rFonts w:cs="Times New Roman"/>
          <w:sz w:val="84"/>
          <w:szCs w:val="84"/>
        </w:rPr>
      </w:pPr>
    </w:p>
    <w:p>
      <w:pPr>
        <w:pStyle w:val="15"/>
        <w:jc w:val="center"/>
        <w:rPr>
          <w:rFonts w:cs="Times New Roman"/>
          <w:sz w:val="84"/>
          <w:szCs w:val="84"/>
        </w:rPr>
      </w:pPr>
    </w:p>
    <w:p>
      <w:pPr>
        <w:pStyle w:val="15"/>
        <w:jc w:val="center"/>
        <w:rPr>
          <w:rFonts w:cs="Times New Roman"/>
          <w:sz w:val="84"/>
          <w:szCs w:val="84"/>
        </w:rPr>
      </w:pPr>
      <w:r>
        <w:rPr>
          <w:sz w:val="84"/>
          <w:szCs w:val="84"/>
        </w:rPr>
        <w:t>2020</w:t>
      </w:r>
      <w:r>
        <w:rPr>
          <w:rFonts w:hint="eastAsia"/>
          <w:sz w:val="84"/>
          <w:szCs w:val="84"/>
        </w:rPr>
        <w:t>年度</w:t>
      </w:r>
    </w:p>
    <w:p>
      <w:pPr>
        <w:pStyle w:val="15"/>
        <w:jc w:val="center"/>
        <w:rPr>
          <w:rFonts w:cs="Times New Roman"/>
          <w:sz w:val="84"/>
          <w:szCs w:val="84"/>
        </w:rPr>
      </w:pPr>
      <w:r>
        <w:rPr>
          <w:rFonts w:hint="eastAsia"/>
          <w:sz w:val="84"/>
          <w:szCs w:val="84"/>
        </w:rPr>
        <w:t>冷水江市人民检察院部门决算</w:t>
      </w:r>
    </w:p>
    <w:p>
      <w:pPr>
        <w:pStyle w:val="15"/>
        <w:jc w:val="center"/>
        <w:rPr>
          <w:rFonts w:cs="Times New Roman"/>
          <w:sz w:val="56"/>
          <w:szCs w:val="56"/>
        </w:rPr>
      </w:pPr>
    </w:p>
    <w:p>
      <w:pPr>
        <w:pStyle w:val="15"/>
        <w:jc w:val="center"/>
        <w:rPr>
          <w:rFonts w:cs="Times New Roman"/>
          <w:sz w:val="56"/>
          <w:szCs w:val="56"/>
        </w:rPr>
      </w:pPr>
    </w:p>
    <w:p>
      <w:pPr>
        <w:pStyle w:val="15"/>
        <w:jc w:val="center"/>
        <w:rPr>
          <w:rFonts w:cs="Times New Roman"/>
          <w:sz w:val="56"/>
          <w:szCs w:val="56"/>
        </w:rPr>
      </w:pPr>
    </w:p>
    <w:p>
      <w:pPr>
        <w:pStyle w:val="15"/>
        <w:jc w:val="center"/>
        <w:rPr>
          <w:rFonts w:cs="Times New Roman"/>
          <w:sz w:val="56"/>
          <w:szCs w:val="56"/>
        </w:rPr>
      </w:pPr>
    </w:p>
    <w:p>
      <w:pPr>
        <w:pStyle w:val="15"/>
        <w:jc w:val="center"/>
        <w:rPr>
          <w:rFonts w:cs="Times New Roman"/>
          <w:sz w:val="32"/>
          <w:szCs w:val="32"/>
        </w:rPr>
      </w:pPr>
    </w:p>
    <w:p>
      <w:pPr>
        <w:pStyle w:val="15"/>
        <w:jc w:val="center"/>
        <w:rPr>
          <w:rFonts w:cs="Times New Roman"/>
          <w:sz w:val="32"/>
          <w:szCs w:val="32"/>
        </w:rPr>
      </w:pPr>
    </w:p>
    <w:p>
      <w:pPr>
        <w:pStyle w:val="15"/>
        <w:jc w:val="center"/>
        <w:rPr>
          <w:rFonts w:cs="Times New Roman"/>
          <w:sz w:val="32"/>
          <w:szCs w:val="32"/>
        </w:rPr>
      </w:pPr>
    </w:p>
    <w:p>
      <w:pPr>
        <w:pStyle w:val="15"/>
        <w:spacing w:line="540" w:lineRule="exact"/>
        <w:jc w:val="center"/>
        <w:rPr>
          <w:rFonts w:cs="Times New Roman"/>
          <w:sz w:val="56"/>
          <w:szCs w:val="56"/>
        </w:rPr>
      </w:pPr>
    </w:p>
    <w:p>
      <w:pPr>
        <w:pStyle w:val="15"/>
        <w:spacing w:line="500" w:lineRule="exact"/>
        <w:jc w:val="center"/>
        <w:rPr>
          <w:rFonts w:cs="Times New Roman"/>
          <w:b/>
          <w:bCs/>
          <w:sz w:val="36"/>
          <w:szCs w:val="36"/>
        </w:rPr>
      </w:pPr>
    </w:p>
    <w:p>
      <w:pPr>
        <w:pStyle w:val="15"/>
        <w:spacing w:line="500" w:lineRule="exact"/>
        <w:jc w:val="center"/>
        <w:rPr>
          <w:rFonts w:cs="Times New Roman"/>
          <w:b/>
          <w:bCs/>
          <w:sz w:val="36"/>
          <w:szCs w:val="36"/>
        </w:rPr>
      </w:pPr>
    </w:p>
    <w:p>
      <w:pPr>
        <w:pStyle w:val="15"/>
        <w:spacing w:line="500" w:lineRule="exact"/>
        <w:jc w:val="center"/>
        <w:rPr>
          <w:rFonts w:cs="Times New Roman"/>
          <w:b/>
          <w:bCs/>
          <w:sz w:val="36"/>
          <w:szCs w:val="36"/>
        </w:rPr>
      </w:pPr>
      <w:r>
        <w:rPr>
          <w:rFonts w:hint="eastAsia"/>
          <w:b/>
          <w:bCs/>
          <w:sz w:val="36"/>
          <w:szCs w:val="36"/>
        </w:rPr>
        <w:t>目录</w:t>
      </w:r>
    </w:p>
    <w:p>
      <w:pPr>
        <w:pStyle w:val="15"/>
        <w:spacing w:line="500" w:lineRule="exact"/>
        <w:rPr>
          <w:rFonts w:ascii="仿宋_GB2312" w:eastAsia="仿宋_GB2312" w:cs="Times New Roman"/>
          <w:b/>
          <w:bCs/>
          <w:sz w:val="28"/>
          <w:szCs w:val="28"/>
        </w:rPr>
      </w:pPr>
      <w:r>
        <w:rPr>
          <w:rFonts w:hint="eastAsia"/>
          <w:b/>
          <w:bCs/>
          <w:sz w:val="28"/>
          <w:szCs w:val="28"/>
        </w:rPr>
        <w:t>第一部分单位概况</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一、部门职责</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二、机构设置</w:t>
      </w:r>
    </w:p>
    <w:p>
      <w:pPr>
        <w:pStyle w:val="15"/>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2020</w:t>
      </w:r>
      <w:r>
        <w:rPr>
          <w:rFonts w:hint="eastAsia" w:hAnsi="仿宋_GB2312"/>
          <w:b/>
          <w:bCs/>
          <w:sz w:val="28"/>
          <w:szCs w:val="28"/>
        </w:rPr>
        <w:t>年度部门决算表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二、收入决算表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三、支出决算表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六、一般公共预算财政拨款基本支出决算表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5"/>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2020</w:t>
      </w:r>
      <w:r>
        <w:rPr>
          <w:rFonts w:hint="eastAsia" w:hAnsi="仿宋_GB2312"/>
          <w:b/>
          <w:bCs/>
          <w:sz w:val="28"/>
          <w:szCs w:val="28"/>
        </w:rPr>
        <w:t>年度部门决算情况说明</w:t>
      </w:r>
    </w:p>
    <w:p>
      <w:pPr>
        <w:pStyle w:val="15"/>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十一、关于政府采购支出说明</w:t>
      </w:r>
    </w:p>
    <w:p>
      <w:pPr>
        <w:pStyle w:val="15"/>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十二、关于国有资产占用情况说明</w:t>
      </w:r>
    </w:p>
    <w:p>
      <w:pPr>
        <w:pStyle w:val="15"/>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十三、关</w:t>
      </w:r>
      <w:r>
        <w:rPr>
          <w:rFonts w:hint="eastAsia" w:ascii="宋体" w:hAnsi="宋体" w:eastAsia="宋体" w:cs="宋体"/>
          <w:sz w:val="28"/>
          <w:szCs w:val="28"/>
        </w:rPr>
        <w:t>于</w:t>
      </w:r>
      <w:r>
        <w:rPr>
          <w:rFonts w:ascii="宋体" w:hAnsi="宋体" w:eastAsia="宋体" w:cs="宋体"/>
          <w:sz w:val="28"/>
          <w:szCs w:val="28"/>
        </w:rPr>
        <w:t>2020</w:t>
      </w:r>
      <w:r>
        <w:rPr>
          <w:rFonts w:hint="eastAsia" w:ascii="宋体" w:hAnsi="宋体" w:eastAsia="宋体" w:cs="宋体"/>
          <w:sz w:val="28"/>
          <w:szCs w:val="28"/>
        </w:rPr>
        <w:t>年</w:t>
      </w:r>
      <w:r>
        <w:rPr>
          <w:rFonts w:hint="eastAsia" w:ascii="仿宋_GB2312" w:hAnsi="仿宋_GB2312" w:eastAsia="宋体" w:cs="宋体"/>
          <w:sz w:val="28"/>
          <w:szCs w:val="28"/>
        </w:rPr>
        <w:t>度预算绩效情况的说明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15"/>
        <w:jc w:val="center"/>
        <w:rPr>
          <w:rFonts w:cs="Times New Roman"/>
          <w:sz w:val="84"/>
          <w:szCs w:val="84"/>
        </w:rPr>
      </w:pPr>
      <w:r>
        <w:rPr>
          <w:rFonts w:hint="eastAsia"/>
          <w:sz w:val="84"/>
          <w:szCs w:val="84"/>
        </w:rPr>
        <w:t>第一部分</w:t>
      </w:r>
    </w:p>
    <w:p>
      <w:pPr>
        <w:pStyle w:val="15"/>
        <w:jc w:val="center"/>
        <w:rPr>
          <w:rFonts w:cs="Times New Roman"/>
          <w:sz w:val="84"/>
          <w:szCs w:val="84"/>
        </w:rPr>
      </w:pPr>
    </w:p>
    <w:p>
      <w:pPr>
        <w:pStyle w:val="15"/>
        <w:jc w:val="center"/>
        <w:rPr>
          <w:rFonts w:cs="Times New Roman"/>
          <w:sz w:val="84"/>
          <w:szCs w:val="84"/>
        </w:rPr>
      </w:pPr>
      <w:r>
        <w:rPr>
          <w:rFonts w:hint="eastAsia"/>
          <w:sz w:val="84"/>
          <w:szCs w:val="84"/>
        </w:rPr>
        <w:t>冷水江市人民检察院单位概况</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6"/>
        <w:ind w:left="720" w:firstLine="0" w:firstLineChars="0"/>
        <w:jc w:val="left"/>
        <w:rPr>
          <w:rFonts w:ascii="黑体" w:hAnsi="黑体" w:eastAsia="黑体" w:cs="Times New Roman"/>
          <w:sz w:val="32"/>
          <w:szCs w:val="32"/>
        </w:rPr>
      </w:pPr>
    </w:p>
    <w:p>
      <w:pPr>
        <w:pStyle w:val="16"/>
        <w:ind w:left="720" w:firstLine="0" w:firstLineChars="0"/>
        <w:jc w:val="left"/>
        <w:rPr>
          <w:rFonts w:ascii="黑体" w:hAnsi="黑体" w:eastAsia="黑体" w:cs="Times New Roman"/>
          <w:sz w:val="32"/>
          <w:szCs w:val="32"/>
        </w:rPr>
      </w:pPr>
    </w:p>
    <w:p>
      <w:pPr>
        <w:pStyle w:val="16"/>
        <w:ind w:left="720" w:firstLine="0" w:firstLineChars="0"/>
        <w:jc w:val="left"/>
        <w:rPr>
          <w:rFonts w:ascii="黑体" w:hAnsi="黑体" w:eastAsia="黑体" w:cs="Times New Roman"/>
          <w:sz w:val="32"/>
          <w:szCs w:val="32"/>
        </w:rPr>
      </w:pPr>
    </w:p>
    <w:p>
      <w:pPr>
        <w:pStyle w:val="16"/>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部门职责</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冷水江市人民检察院是国家的法律监督机关，接受上级人民检察院的领导，对市人民代表大会及其常务委员会负责并报告工作。其主要职责是：</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一）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（二）研究制定检察工作的总体规划，部署检察工作任务。</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（三）依照法律规定对本辖区内直接受理的刑事案件行使侦查权。</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（四）对辖区内重大刑事案件依法审查批准逮捕、决定逮捕、提起公诉。</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（五）负责应由人民检察院承办的刑事、民事、行政诉讼活动及刑事、民事、行政判决和裁定等生效法律文书执行的法律监督工作。</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（六）负责应由人民检察院承办的提起公益诉讼工作。</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（七）对辖区内报请核准追诉的案件进行审查，决定是否报市人民检察院。</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（八）负责应由人民检察院承办的对监狱、看守所等执法活动的法律监督工作。</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（九）接受向人民检察院的控告申诉。</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（十）负责市检察机关队伍建设和思想政治工作。</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（十一）协同市委主管部门依照干部管理权限对相关人员进行管理和考核。</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（十二）规划检察机关的财务装备工作。</w:t>
      </w:r>
    </w:p>
    <w:p>
      <w:pPr>
        <w:pStyle w:val="8"/>
        <w:shd w:val="clear" w:color="auto" w:fill="FFFFFF"/>
        <w:spacing w:before="0" w:beforeAutospacing="0" w:after="225" w:afterAutospacing="0" w:line="450" w:lineRule="atLeast"/>
        <w:ind w:firstLine="480"/>
        <w:rPr>
          <w:rFonts w:cs="Times New Roman"/>
          <w:color w:val="000000"/>
          <w:sz w:val="30"/>
          <w:szCs w:val="30"/>
        </w:rPr>
      </w:pPr>
      <w:r>
        <w:rPr>
          <w:rFonts w:hint="eastAsia"/>
          <w:color w:val="000000"/>
          <w:sz w:val="30"/>
          <w:szCs w:val="30"/>
        </w:rPr>
        <w:t>（十三）负责其他应当由人民检察院承办的事项。</w:t>
      </w:r>
    </w:p>
    <w:p>
      <w:pPr>
        <w:jc w:val="left"/>
        <w:rPr>
          <w:rFonts w:ascii="仿宋_GB2312" w:hAnsi="宋体" w:eastAsia="仿宋_GB2312" w:cs="Times New Roman"/>
          <w:sz w:val="28"/>
          <w:szCs w:val="28"/>
        </w:rPr>
      </w:pPr>
    </w:p>
    <w:p>
      <w:pPr>
        <w:widowControl/>
        <w:spacing w:line="600" w:lineRule="exact"/>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widowControl/>
        <w:spacing w:line="600" w:lineRule="exact"/>
        <w:ind w:firstLine="800" w:firstLineChars="250"/>
        <w:rPr>
          <w:rFonts w:ascii="宋体" w:cs="Times New Roman"/>
          <w:kern w:val="0"/>
          <w:sz w:val="32"/>
          <w:szCs w:val="32"/>
        </w:rPr>
      </w:pPr>
      <w:r>
        <w:rPr>
          <w:rFonts w:hint="eastAsia" w:ascii="宋体" w:hAnsi="宋体" w:cs="宋体"/>
          <w:kern w:val="0"/>
          <w:sz w:val="32"/>
          <w:szCs w:val="32"/>
        </w:rPr>
        <w:t>（一）内设机构设置。</w:t>
      </w:r>
    </w:p>
    <w:p>
      <w:pPr>
        <w:widowControl/>
        <w:spacing w:line="600" w:lineRule="exact"/>
        <w:ind w:firstLine="750" w:firstLineChars="250"/>
        <w:rPr>
          <w:rFonts w:ascii="宋体" w:cs="Times New Roman"/>
          <w:color w:val="000000"/>
          <w:kern w:val="0"/>
          <w:sz w:val="30"/>
          <w:szCs w:val="30"/>
        </w:rPr>
      </w:pPr>
      <w:r>
        <w:rPr>
          <w:rFonts w:hint="eastAsia" w:ascii="宋体" w:hAnsi="宋体" w:cs="宋体"/>
          <w:color w:val="000000"/>
          <w:kern w:val="0"/>
          <w:sz w:val="30"/>
          <w:szCs w:val="30"/>
        </w:rPr>
        <w:t>冷水江市人民检察院内设办公室、第一检察部、第二检察部、第三检察部、第四检察部、第五检察部、第六检察部、政治部。</w:t>
      </w:r>
    </w:p>
    <w:p>
      <w:pPr>
        <w:pStyle w:val="8"/>
        <w:shd w:val="clear" w:color="auto" w:fill="FFFFFF"/>
        <w:spacing w:before="0" w:beforeAutospacing="0" w:after="225" w:afterAutospacing="0" w:line="450" w:lineRule="atLeast"/>
        <w:ind w:firstLine="780" w:firstLineChars="260"/>
        <w:rPr>
          <w:rFonts w:cs="Times New Roman"/>
          <w:color w:val="000000"/>
          <w:sz w:val="30"/>
          <w:szCs w:val="30"/>
        </w:rPr>
      </w:pPr>
      <w:r>
        <w:rPr>
          <w:rFonts w:hint="eastAsia"/>
          <w:color w:val="000000"/>
          <w:sz w:val="30"/>
          <w:szCs w:val="30"/>
        </w:rPr>
        <w:t>冷水江市检察院现有在职干警</w:t>
      </w:r>
      <w:r>
        <w:rPr>
          <w:color w:val="000000"/>
          <w:sz w:val="30"/>
          <w:szCs w:val="30"/>
        </w:rPr>
        <w:t>54</w:t>
      </w:r>
      <w:r>
        <w:rPr>
          <w:rFonts w:hint="eastAsia"/>
          <w:color w:val="000000"/>
          <w:sz w:val="30"/>
          <w:szCs w:val="30"/>
        </w:rPr>
        <w:t>人，其中员额检察官</w:t>
      </w:r>
      <w:r>
        <w:rPr>
          <w:color w:val="000000"/>
          <w:sz w:val="30"/>
          <w:szCs w:val="30"/>
        </w:rPr>
        <w:t>20</w:t>
      </w:r>
      <w:r>
        <w:rPr>
          <w:rFonts w:hint="eastAsia"/>
          <w:color w:val="000000"/>
          <w:sz w:val="30"/>
          <w:szCs w:val="30"/>
        </w:rPr>
        <w:t>人，司法辅助人员</w:t>
      </w:r>
      <w:r>
        <w:rPr>
          <w:color w:val="000000"/>
          <w:sz w:val="30"/>
          <w:szCs w:val="30"/>
        </w:rPr>
        <w:t>26</w:t>
      </w:r>
      <w:r>
        <w:rPr>
          <w:rFonts w:hint="eastAsia"/>
          <w:color w:val="000000"/>
          <w:sz w:val="30"/>
          <w:szCs w:val="30"/>
        </w:rPr>
        <w:t>人（其中：检察官助理</w:t>
      </w:r>
      <w:r>
        <w:rPr>
          <w:color w:val="000000"/>
          <w:sz w:val="30"/>
          <w:szCs w:val="30"/>
        </w:rPr>
        <w:t>18</w:t>
      </w:r>
      <w:r>
        <w:rPr>
          <w:rFonts w:hint="eastAsia"/>
          <w:color w:val="000000"/>
          <w:sz w:val="30"/>
          <w:szCs w:val="30"/>
        </w:rPr>
        <w:t>人，书记员</w:t>
      </w:r>
      <w:r>
        <w:rPr>
          <w:color w:val="000000"/>
          <w:sz w:val="30"/>
          <w:szCs w:val="30"/>
        </w:rPr>
        <w:t>2</w:t>
      </w:r>
      <w:r>
        <w:rPr>
          <w:rFonts w:hint="eastAsia"/>
          <w:color w:val="000000"/>
          <w:sz w:val="30"/>
          <w:szCs w:val="30"/>
        </w:rPr>
        <w:t>人，司法警察</w:t>
      </w:r>
      <w:r>
        <w:rPr>
          <w:color w:val="000000"/>
          <w:sz w:val="30"/>
          <w:szCs w:val="30"/>
        </w:rPr>
        <w:t>5</w:t>
      </w:r>
      <w:r>
        <w:rPr>
          <w:rFonts w:hint="eastAsia"/>
          <w:color w:val="000000"/>
          <w:sz w:val="30"/>
          <w:szCs w:val="30"/>
        </w:rPr>
        <w:t>人，检察技术人员</w:t>
      </w:r>
      <w:r>
        <w:rPr>
          <w:color w:val="000000"/>
          <w:sz w:val="30"/>
          <w:szCs w:val="30"/>
        </w:rPr>
        <w:t>1</w:t>
      </w:r>
      <w:r>
        <w:rPr>
          <w:rFonts w:hint="eastAsia"/>
          <w:color w:val="000000"/>
          <w:sz w:val="30"/>
          <w:szCs w:val="30"/>
        </w:rPr>
        <w:t>人），司法行政人员</w:t>
      </w:r>
      <w:r>
        <w:rPr>
          <w:color w:val="000000"/>
          <w:sz w:val="30"/>
          <w:szCs w:val="30"/>
        </w:rPr>
        <w:t>8</w:t>
      </w:r>
      <w:r>
        <w:rPr>
          <w:rFonts w:hint="eastAsia"/>
          <w:color w:val="000000"/>
          <w:sz w:val="30"/>
          <w:szCs w:val="30"/>
        </w:rPr>
        <w:t>人。</w:t>
      </w:r>
    </w:p>
    <w:p>
      <w:pPr>
        <w:adjustRightInd w:val="0"/>
        <w:snapToGrid w:val="0"/>
        <w:spacing w:line="560" w:lineRule="exact"/>
        <w:ind w:firstLine="640" w:firstLineChars="200"/>
        <w:rPr>
          <w:rFonts w:ascii="宋体" w:cs="Times New Roman"/>
          <w:kern w:val="0"/>
          <w:sz w:val="32"/>
          <w:szCs w:val="32"/>
        </w:rPr>
      </w:pPr>
      <w:r>
        <w:rPr>
          <w:rFonts w:hint="eastAsia" w:ascii="宋体" w:hAnsi="宋体" w:cs="宋体"/>
          <w:kern w:val="0"/>
          <w:sz w:val="32"/>
          <w:szCs w:val="32"/>
        </w:rPr>
        <w:t>（二）决算单位构成。</w:t>
      </w:r>
    </w:p>
    <w:p>
      <w:pPr>
        <w:adjustRightInd w:val="0"/>
        <w:snapToGrid w:val="0"/>
        <w:spacing w:line="560" w:lineRule="exact"/>
        <w:ind w:firstLine="600" w:firstLineChars="200"/>
        <w:rPr>
          <w:rFonts w:hint="default" w:ascii="宋体" w:eastAsia="宋体" w:cs="Times New Roman"/>
          <w:b/>
          <w:bCs/>
          <w:color w:val="000000"/>
          <w:kern w:val="0"/>
          <w:sz w:val="30"/>
          <w:szCs w:val="30"/>
          <w:lang w:val="en-US" w:eastAsia="zh-CN"/>
        </w:rPr>
      </w:pPr>
      <w:r>
        <w:rPr>
          <w:rFonts w:hint="eastAsia" w:ascii="宋体" w:hAnsi="宋体" w:cs="宋体"/>
          <w:color w:val="000000"/>
          <w:kern w:val="0"/>
          <w:sz w:val="30"/>
          <w:szCs w:val="30"/>
        </w:rPr>
        <w:t>冷水江市人民检察院</w:t>
      </w:r>
      <w:r>
        <w:rPr>
          <w:rFonts w:ascii="宋体" w:hAnsi="宋体" w:cs="宋体"/>
          <w:color w:val="000000"/>
          <w:kern w:val="0"/>
          <w:sz w:val="30"/>
          <w:szCs w:val="30"/>
        </w:rPr>
        <w:t>2020</w:t>
      </w:r>
      <w:r>
        <w:rPr>
          <w:rFonts w:hint="eastAsia" w:ascii="宋体" w:hAnsi="宋体" w:cs="宋体"/>
          <w:color w:val="000000"/>
          <w:kern w:val="0"/>
          <w:sz w:val="30"/>
          <w:szCs w:val="30"/>
        </w:rPr>
        <w:t>年部门决算包含的主体范围是机关本级</w:t>
      </w:r>
      <w:r>
        <w:rPr>
          <w:rFonts w:hint="eastAsia" w:ascii="宋体" w:hAnsi="宋体" w:cs="宋体"/>
          <w:color w:val="000000"/>
          <w:kern w:val="0"/>
          <w:sz w:val="30"/>
          <w:szCs w:val="30"/>
          <w:lang w:eastAsia="zh-CN"/>
        </w:rPr>
        <w:t>，</w:t>
      </w:r>
      <w:bookmarkStart w:id="1" w:name="_GoBack"/>
      <w:bookmarkEnd w:id="1"/>
      <w:r>
        <w:rPr>
          <w:rFonts w:hint="eastAsia" w:ascii="宋体" w:hAnsi="宋体" w:cs="宋体"/>
          <w:color w:val="000000"/>
          <w:kern w:val="0"/>
          <w:sz w:val="30"/>
          <w:szCs w:val="30"/>
          <w:lang w:val="en-US" w:eastAsia="zh-CN"/>
        </w:rPr>
        <w:t>无其他决算单位。</w:t>
      </w:r>
    </w:p>
    <w:p>
      <w:pPr>
        <w:jc w:val="left"/>
        <w:rPr>
          <w:rFonts w:ascii="仿宋_GB2312" w:hAnsi="宋体" w:eastAsia="仿宋_GB2312" w:cs="Times New Roman"/>
          <w:sz w:val="28"/>
          <w:szCs w:val="28"/>
        </w:rPr>
      </w:pPr>
    </w:p>
    <w:p>
      <w:pPr>
        <w:jc w:val="left"/>
        <w:rPr>
          <w:rFonts w:ascii="仿宋_GB2312" w:hAnsi="宋体" w:eastAsia="仿宋_GB2312" w:cs="Times New Roman"/>
          <w:sz w:val="28"/>
          <w:szCs w:val="28"/>
        </w:rPr>
      </w:pPr>
    </w:p>
    <w:p>
      <w:pPr>
        <w:jc w:val="left"/>
        <w:rPr>
          <w:rFonts w:ascii="仿宋_GB2312" w:hAnsi="宋体" w:eastAsia="仿宋_GB2312" w:cs="Times New Roman"/>
          <w:sz w:val="28"/>
          <w:szCs w:val="28"/>
        </w:rPr>
      </w:pPr>
    </w:p>
    <w:p>
      <w:pPr>
        <w:jc w:val="left"/>
        <w:rPr>
          <w:rFonts w:ascii="仿宋_GB2312" w:hAnsi="宋体" w:eastAsia="仿宋_GB2312"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r>
        <w:rPr>
          <w:rFonts w:hint="eastAsia" w:cs="宋体"/>
          <w:sz w:val="72"/>
          <w:szCs w:val="72"/>
        </w:rPr>
        <w:t>第二部分</w:t>
      </w:r>
    </w:p>
    <w:p>
      <w:pPr>
        <w:jc w:val="center"/>
        <w:rPr>
          <w:rFonts w:cs="Times New Roman"/>
          <w:sz w:val="72"/>
          <w:szCs w:val="72"/>
        </w:rPr>
      </w:pPr>
    </w:p>
    <w:p>
      <w:pPr>
        <w:jc w:val="center"/>
        <w:rPr>
          <w:rFonts w:cs="Times New Roman"/>
          <w:sz w:val="72"/>
          <w:szCs w:val="72"/>
        </w:rPr>
      </w:pPr>
      <w:r>
        <w:rPr>
          <w:rFonts w:hint="eastAsia" w:cs="宋体"/>
          <w:sz w:val="72"/>
          <w:szCs w:val="7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5"/>
        <w:rPr>
          <w:rFonts w:cs="Times New Roman"/>
        </w:rPr>
      </w:pPr>
    </w:p>
    <w:p>
      <w:pPr>
        <w:pStyle w:val="15"/>
        <w:rPr>
          <w:rFonts w:cs="Times New Roman"/>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rPr>
      </w:pPr>
    </w:p>
    <w:p>
      <w:pPr>
        <w:pStyle w:val="15"/>
        <w:rPr>
          <w:rFonts w:cs="Times New Roman"/>
        </w:rPr>
      </w:pPr>
      <w:r>
        <w:rPr>
          <w:rFonts w:cs="Times New Roman"/>
        </w:rPr>
        <w:drawing>
          <wp:inline distT="0" distB="0" distL="114300" distR="114300">
            <wp:extent cx="8134350" cy="6648450"/>
            <wp:effectExtent l="0" t="0" r="0" b="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4"/>
                    <a:stretch>
                      <a:fillRect/>
                    </a:stretch>
                  </pic:blipFill>
                  <pic:spPr>
                    <a:xfrm>
                      <a:off x="0" y="0"/>
                      <a:ext cx="8134350" cy="6648450"/>
                    </a:xfrm>
                    <a:prstGeom prst="rect">
                      <a:avLst/>
                    </a:prstGeom>
                    <a:noFill/>
                    <a:ln>
                      <a:noFill/>
                    </a:ln>
                  </pic:spPr>
                </pic:pic>
              </a:graphicData>
            </a:graphic>
          </wp:inline>
        </w:drawing>
      </w:r>
    </w:p>
    <w:p>
      <w:pPr>
        <w:pStyle w:val="15"/>
        <w:rPr>
          <w:rFonts w:cs="Times New Roman"/>
        </w:rPr>
      </w:pPr>
    </w:p>
    <w:p>
      <w:pPr>
        <w:pStyle w:val="15"/>
        <w:rPr>
          <w:rFonts w:cs="Times New Roman"/>
        </w:rPr>
      </w:pPr>
      <w:r>
        <w:rPr>
          <w:rFonts w:cs="Times New Roman"/>
        </w:rPr>
        <w:drawing>
          <wp:inline distT="0" distB="0" distL="114300" distR="114300">
            <wp:extent cx="9696450" cy="4867275"/>
            <wp:effectExtent l="0" t="0" r="0" b="9525"/>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5"/>
                    <a:stretch>
                      <a:fillRect/>
                    </a:stretch>
                  </pic:blipFill>
                  <pic:spPr>
                    <a:xfrm>
                      <a:off x="0" y="0"/>
                      <a:ext cx="9696450" cy="4867275"/>
                    </a:xfrm>
                    <a:prstGeom prst="rect">
                      <a:avLst/>
                    </a:prstGeom>
                    <a:noFill/>
                    <a:ln>
                      <a:noFill/>
                    </a:ln>
                  </pic:spPr>
                </pic:pic>
              </a:graphicData>
            </a:graphic>
          </wp:inline>
        </w:drawing>
      </w: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r>
        <w:rPr>
          <w:rFonts w:cs="Times New Roman"/>
        </w:rPr>
        <w:drawing>
          <wp:inline distT="0" distB="0" distL="114300" distR="114300">
            <wp:extent cx="9696450" cy="5610225"/>
            <wp:effectExtent l="0" t="0" r="0" b="9525"/>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6"/>
                    <a:stretch>
                      <a:fillRect/>
                    </a:stretch>
                  </pic:blipFill>
                  <pic:spPr>
                    <a:xfrm>
                      <a:off x="0" y="0"/>
                      <a:ext cx="9696450" cy="5610225"/>
                    </a:xfrm>
                    <a:prstGeom prst="rect">
                      <a:avLst/>
                    </a:prstGeom>
                    <a:noFill/>
                    <a:ln>
                      <a:noFill/>
                    </a:ln>
                  </pic:spPr>
                </pic:pic>
              </a:graphicData>
            </a:graphic>
          </wp:inline>
        </w:drawing>
      </w:r>
    </w:p>
    <w:p>
      <w:pPr>
        <w:pStyle w:val="15"/>
        <w:rPr>
          <w:rFonts w:cs="Times New Roman"/>
        </w:rPr>
      </w:pPr>
    </w:p>
    <w:p>
      <w:pPr>
        <w:pStyle w:val="15"/>
        <w:rPr>
          <w:rFonts w:cs="Times New Roman"/>
        </w:rPr>
      </w:pPr>
    </w:p>
    <w:p>
      <w:pPr>
        <w:pStyle w:val="15"/>
        <w:rPr>
          <w:rFonts w:cs="Times New Roman"/>
        </w:rPr>
      </w:pPr>
    </w:p>
    <w:p>
      <w:pPr>
        <w:pStyle w:val="15"/>
        <w:rPr>
          <w:rFonts w:cs="Times New Roman"/>
        </w:rPr>
      </w:pPr>
      <w:r>
        <w:rPr>
          <w:rFonts w:cs="Times New Roman"/>
        </w:rPr>
        <w:drawing>
          <wp:inline distT="0" distB="0" distL="114300" distR="114300">
            <wp:extent cx="9715500" cy="7239000"/>
            <wp:effectExtent l="0" t="0" r="0" b="0"/>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pic:cNvPicPr>
                      <a:picLocks noChangeAspect="1"/>
                    </pic:cNvPicPr>
                  </pic:nvPicPr>
                  <pic:blipFill>
                    <a:blip r:embed="rId7"/>
                    <a:stretch>
                      <a:fillRect/>
                    </a:stretch>
                  </pic:blipFill>
                  <pic:spPr>
                    <a:xfrm>
                      <a:off x="0" y="0"/>
                      <a:ext cx="9715500" cy="7239000"/>
                    </a:xfrm>
                    <a:prstGeom prst="rect">
                      <a:avLst/>
                    </a:prstGeom>
                    <a:noFill/>
                    <a:ln>
                      <a:noFill/>
                    </a:ln>
                  </pic:spPr>
                </pic:pic>
              </a:graphicData>
            </a:graphic>
          </wp:inline>
        </w:drawing>
      </w:r>
    </w:p>
    <w:p>
      <w:pPr>
        <w:pStyle w:val="15"/>
        <w:rPr>
          <w:rFonts w:cs="Times New Roman"/>
        </w:rPr>
      </w:pPr>
      <w:r>
        <w:rPr>
          <w:rFonts w:cs="Times New Roman"/>
        </w:rPr>
        <w:drawing>
          <wp:inline distT="0" distB="0" distL="114300" distR="114300">
            <wp:extent cx="7429500" cy="5572125"/>
            <wp:effectExtent l="0" t="0" r="0" b="9525"/>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pic:cNvPicPr>
                      <a:picLocks noChangeAspect="1"/>
                    </pic:cNvPicPr>
                  </pic:nvPicPr>
                  <pic:blipFill>
                    <a:blip r:embed="rId8"/>
                    <a:stretch>
                      <a:fillRect/>
                    </a:stretch>
                  </pic:blipFill>
                  <pic:spPr>
                    <a:xfrm>
                      <a:off x="0" y="0"/>
                      <a:ext cx="7429500" cy="5572125"/>
                    </a:xfrm>
                    <a:prstGeom prst="rect">
                      <a:avLst/>
                    </a:prstGeom>
                    <a:noFill/>
                    <a:ln>
                      <a:noFill/>
                    </a:ln>
                  </pic:spPr>
                </pic:pic>
              </a:graphicData>
            </a:graphic>
          </wp:inline>
        </w:drawing>
      </w: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r>
        <w:rPr>
          <w:rFonts w:cs="Times New Roman"/>
        </w:rPr>
        <w:drawing>
          <wp:inline distT="0" distB="0" distL="114300" distR="114300">
            <wp:extent cx="9725025" cy="6067425"/>
            <wp:effectExtent l="0" t="0" r="9525" b="9525"/>
            <wp:docPr id="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pic:cNvPicPr>
                      <a:picLocks noChangeAspect="1"/>
                    </pic:cNvPicPr>
                  </pic:nvPicPr>
                  <pic:blipFill>
                    <a:blip r:embed="rId9"/>
                    <a:stretch>
                      <a:fillRect/>
                    </a:stretch>
                  </pic:blipFill>
                  <pic:spPr>
                    <a:xfrm>
                      <a:off x="0" y="0"/>
                      <a:ext cx="9725025" cy="6067425"/>
                    </a:xfrm>
                    <a:prstGeom prst="rect">
                      <a:avLst/>
                    </a:prstGeom>
                    <a:noFill/>
                    <a:ln>
                      <a:noFill/>
                    </a:ln>
                  </pic:spPr>
                </pic:pic>
              </a:graphicData>
            </a:graphic>
          </wp:inline>
        </w:drawing>
      </w:r>
    </w:p>
    <w:p>
      <w:pPr>
        <w:pStyle w:val="15"/>
        <w:rPr>
          <w:rFonts w:cs="Times New Roman"/>
        </w:rPr>
      </w:pPr>
    </w:p>
    <w:p>
      <w:pPr>
        <w:pStyle w:val="15"/>
        <w:rPr>
          <w:rFonts w:cs="Times New Roman"/>
        </w:rPr>
      </w:pPr>
    </w:p>
    <w:p>
      <w:pPr>
        <w:pStyle w:val="15"/>
        <w:rPr>
          <w:rFonts w:cs="Times New Roman"/>
        </w:rPr>
      </w:pPr>
    </w:p>
    <w:p>
      <w:pPr>
        <w:pStyle w:val="15"/>
        <w:rPr>
          <w:rFonts w:cs="Times New Roman"/>
        </w:rPr>
      </w:pPr>
      <w:r>
        <w:rPr>
          <w:rFonts w:cs="Times New Roman"/>
        </w:rPr>
        <w:drawing>
          <wp:inline distT="0" distB="0" distL="114300" distR="114300">
            <wp:extent cx="9696450" cy="2057400"/>
            <wp:effectExtent l="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pic:cNvPicPr>
                  </pic:nvPicPr>
                  <pic:blipFill>
                    <a:blip r:embed="rId10"/>
                    <a:stretch>
                      <a:fillRect/>
                    </a:stretch>
                  </pic:blipFill>
                  <pic:spPr>
                    <a:xfrm>
                      <a:off x="0" y="0"/>
                      <a:ext cx="9696450" cy="2057400"/>
                    </a:xfrm>
                    <a:prstGeom prst="rect">
                      <a:avLst/>
                    </a:prstGeom>
                    <a:noFill/>
                    <a:ln>
                      <a:noFill/>
                    </a:ln>
                  </pic:spPr>
                </pic:pic>
              </a:graphicData>
            </a:graphic>
          </wp:inline>
        </w:drawing>
      </w: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pPr>
    </w:p>
    <w:p>
      <w:pPr>
        <w:pStyle w:val="15"/>
        <w:rPr>
          <w:rFonts w:cs="Times New Roman"/>
        </w:rPr>
        <w:sectPr>
          <w:pgSz w:w="16838" w:h="11906" w:orient="landscape"/>
          <w:pgMar w:top="720" w:right="720" w:bottom="720" w:left="720" w:header="851" w:footer="992" w:gutter="0"/>
          <w:cols w:space="720" w:num="1"/>
          <w:docGrid w:type="lines" w:linePitch="312" w:charSpace="0"/>
        </w:sectPr>
      </w:pPr>
    </w:p>
    <w:p>
      <w:pPr>
        <w:pStyle w:val="8"/>
        <w:spacing w:before="0" w:beforeAutospacing="0"/>
        <w:ind w:firstLine="480" w:firstLineChars="150"/>
        <w:outlineLvl w:val="1"/>
        <w:rPr>
          <w:rStyle w:val="11"/>
          <w:rFonts w:ascii="楷体_GB2312" w:eastAsia="楷体_GB2312" w:cs="Times New Roman"/>
          <w:b w:val="0"/>
          <w:bCs w:val="0"/>
          <w:sz w:val="32"/>
          <w:szCs w:val="32"/>
        </w:rPr>
      </w:pPr>
      <w:bookmarkStart w:id="0" w:name="_Toc16750"/>
      <w:r>
        <w:rPr>
          <w:rStyle w:val="11"/>
          <w:rFonts w:hint="eastAsia" w:ascii="楷体_GB2312" w:eastAsia="楷体_GB2312" w:cs="楷体_GB2312"/>
          <w:sz w:val="32"/>
          <w:szCs w:val="32"/>
        </w:rPr>
        <w:t>八、政府性基金预算财政拨款收入支出决算表</w:t>
      </w:r>
      <w:bookmarkEnd w:id="0"/>
    </w:p>
    <w:tbl>
      <w:tblPr>
        <w:tblStyle w:val="9"/>
        <w:tblW w:w="0" w:type="auto"/>
        <w:tblInd w:w="2" w:type="dxa"/>
        <w:tblLayout w:type="autofit"/>
        <w:tblCellMar>
          <w:top w:w="0" w:type="dxa"/>
          <w:left w:w="0" w:type="dxa"/>
          <w:bottom w:w="0" w:type="dxa"/>
          <w:right w:w="0" w:type="dxa"/>
        </w:tblCellMar>
      </w:tblPr>
      <w:tblGrid>
        <w:gridCol w:w="3358"/>
        <w:gridCol w:w="51"/>
        <w:gridCol w:w="51"/>
        <w:gridCol w:w="1047"/>
        <w:gridCol w:w="1514"/>
        <w:gridCol w:w="770"/>
        <w:gridCol w:w="519"/>
        <w:gridCol w:w="770"/>
        <w:gridCol w:w="815"/>
        <w:gridCol w:w="1599"/>
      </w:tblGrid>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nil"/>
            </w:tcBorders>
            <w:shd w:val="clear" w:color="auto" w:fill="FFFFFF"/>
            <w:noWrap/>
            <w:tcMar>
              <w:top w:w="15" w:type="dxa"/>
              <w:left w:w="15" w:type="dxa"/>
              <w:right w:w="15" w:type="dxa"/>
            </w:tcMar>
            <w:vAlign w:val="center"/>
          </w:tcPr>
          <w:p>
            <w:pPr>
              <w:jc w:val="right"/>
              <w:textAlignment w:val="center"/>
              <w:rPr>
                <w:rFonts w:cs="Times New Roman"/>
                <w:color w:val="000000"/>
                <w:sz w:val="22"/>
                <w:szCs w:val="22"/>
              </w:rPr>
            </w:pPr>
            <w:r>
              <w:rPr>
                <w:rFonts w:hint="eastAsia" w:cs="宋体"/>
                <w:color w:val="000000"/>
                <w:sz w:val="22"/>
                <w:szCs w:val="22"/>
              </w:rPr>
              <w:t>公开</w:t>
            </w:r>
            <w:r>
              <w:rPr>
                <w:color w:val="000000"/>
                <w:sz w:val="22"/>
                <w:szCs w:val="22"/>
              </w:rPr>
              <w:t>08</w:t>
            </w:r>
            <w:r>
              <w:rPr>
                <w:rFonts w:hint="eastAsia" w:cs="宋体"/>
                <w:color w:val="000000"/>
                <w:sz w:val="22"/>
                <w:szCs w:val="22"/>
              </w:rPr>
              <w:t>表</w:t>
            </w:r>
          </w:p>
        </w:tc>
      </w:tr>
      <w:tr>
        <w:tblPrEx>
          <w:tblCellMar>
            <w:top w:w="0" w:type="dxa"/>
            <w:left w:w="0" w:type="dxa"/>
            <w:bottom w:w="0" w:type="dxa"/>
            <w:right w:w="0" w:type="dxa"/>
          </w:tblCellMar>
        </w:tblPrEx>
        <w:trPr>
          <w:trHeight w:val="300" w:hRule="atLeast"/>
        </w:trPr>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textAlignment w:val="center"/>
              <w:rPr>
                <w:rFonts w:cs="Times New Roman"/>
                <w:color w:val="000000"/>
                <w:sz w:val="22"/>
                <w:szCs w:val="22"/>
              </w:rPr>
            </w:pPr>
            <w:r>
              <w:rPr>
                <w:rFonts w:hint="eastAsia" w:cs="宋体"/>
                <w:color w:val="000000"/>
                <w:sz w:val="22"/>
                <w:szCs w:val="22"/>
              </w:rPr>
              <w:t>部门：冷水江市人民检察院</w:t>
            </w: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jc w:val="center"/>
              <w:textAlignment w:val="center"/>
              <w:rPr>
                <w:rFonts w:cs="Times New Roman"/>
                <w:color w:val="000000"/>
                <w:sz w:val="22"/>
                <w:szCs w:val="22"/>
              </w:rPr>
            </w:pPr>
            <w:r>
              <w:rPr>
                <w:color w:val="000000"/>
                <w:sz w:val="22"/>
                <w:szCs w:val="22"/>
              </w:rPr>
              <w:t>2020</w:t>
            </w:r>
            <w:r>
              <w:rPr>
                <w:rFonts w:hint="eastAsia" w:cs="宋体"/>
                <w:color w:val="000000"/>
                <w:sz w:val="22"/>
                <w:szCs w:val="22"/>
              </w:rPr>
              <w:t>年度</w:t>
            </w:r>
          </w:p>
        </w:tc>
        <w:tc>
          <w:tcPr>
            <w:tcW w:w="0" w:type="auto"/>
            <w:tcBorders>
              <w:top w:val="nil"/>
              <w:left w:val="nil"/>
              <w:bottom w:val="single" w:color="808080" w:sz="4" w:space="0"/>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single" w:color="auto" w:sz="4" w:space="0"/>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tcBorders>
              <w:top w:val="nil"/>
              <w:left w:val="nil"/>
              <w:bottom w:val="single" w:color="auto" w:sz="4" w:space="0"/>
              <w:right w:val="nil"/>
            </w:tcBorders>
            <w:shd w:val="clear" w:color="auto" w:fill="FFFFFF"/>
            <w:noWrap/>
            <w:tcMar>
              <w:top w:w="15" w:type="dxa"/>
              <w:left w:w="15" w:type="dxa"/>
              <w:right w:w="15" w:type="dxa"/>
            </w:tcMar>
            <w:vAlign w:val="center"/>
          </w:tcPr>
          <w:p>
            <w:pPr>
              <w:rPr>
                <w:rFonts w:cs="Times New Roman"/>
                <w:color w:val="000000"/>
                <w:sz w:val="18"/>
                <w:szCs w:val="18"/>
              </w:rPr>
            </w:pPr>
          </w:p>
        </w:tc>
        <w:tc>
          <w:tcPr>
            <w:tcW w:w="0" w:type="auto"/>
            <w:gridSpan w:val="2"/>
            <w:tcBorders>
              <w:top w:val="nil"/>
              <w:left w:val="nil"/>
              <w:bottom w:val="single" w:color="auto" w:sz="4" w:space="0"/>
            </w:tcBorders>
            <w:shd w:val="clear" w:color="auto" w:fill="FFFFFF"/>
            <w:noWrap/>
            <w:tcMar>
              <w:top w:w="15" w:type="dxa"/>
              <w:left w:w="15" w:type="dxa"/>
              <w:right w:w="15" w:type="dxa"/>
            </w:tcMar>
            <w:vAlign w:val="center"/>
          </w:tcPr>
          <w:p>
            <w:pPr>
              <w:jc w:val="right"/>
              <w:textAlignment w:val="center"/>
              <w:rPr>
                <w:rFonts w:cs="Times New Roman"/>
                <w:color w:val="000000"/>
                <w:sz w:val="22"/>
                <w:szCs w:val="22"/>
              </w:rPr>
            </w:pPr>
            <w:r>
              <w:rPr>
                <w:rFonts w:hint="eastAsia" w:cs="宋体"/>
                <w:color w:val="000000"/>
                <w:sz w:val="22"/>
                <w:szCs w:val="22"/>
              </w:rPr>
              <w:t>金额单位：万元</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textAlignment w:val="center"/>
              <w:rPr>
                <w:rFonts w:cs="Times New Roman"/>
                <w:color w:val="000000"/>
                <w:sz w:val="20"/>
                <w:szCs w:val="20"/>
              </w:rPr>
            </w:pPr>
            <w:r>
              <w:rPr>
                <w:rFonts w:hint="eastAsia" w:cs="宋体"/>
                <w:color w:val="000000"/>
                <w:sz w:val="20"/>
                <w:szCs w:val="20"/>
              </w:rPr>
              <w:t>项目</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年初结转和结余</w:t>
            </w:r>
          </w:p>
        </w:tc>
        <w:tc>
          <w:tcPr>
            <w:tcW w:w="0" w:type="auto"/>
            <w:vMerge w:val="restart"/>
            <w:tcBorders>
              <w:top w:val="nil"/>
              <w:left w:val="nil"/>
              <w:bottom w:val="single" w:color="000000" w:sz="4" w:space="0"/>
              <w:right w:val="single" w:color="auto" w:sz="4" w:space="0"/>
            </w:tcBorders>
            <w:shd w:val="clear" w:color="auto" w:fill="C0C0C0"/>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本年收入</w:t>
            </w:r>
          </w:p>
        </w:tc>
        <w:tc>
          <w:tcPr>
            <w:tcW w:w="0" w:type="auto"/>
            <w:gridSpan w:val="3"/>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本年支出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年末结转和结余</w:t>
            </w:r>
          </w:p>
        </w:tc>
      </w:tr>
      <w:tr>
        <w:tblPrEx>
          <w:tblCellMar>
            <w:top w:w="0" w:type="dxa"/>
            <w:left w:w="0" w:type="dxa"/>
            <w:bottom w:w="0" w:type="dxa"/>
            <w:right w:w="0"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小计</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基本支出</w:t>
            </w:r>
          </w:p>
        </w:tc>
        <w:tc>
          <w:tcPr>
            <w:tcW w:w="0" w:type="auto"/>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项目支出</w:t>
            </w: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r>
      <w:tr>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r>
      <w:tr>
        <w:tblPrEx>
          <w:tblCellMar>
            <w:top w:w="0" w:type="dxa"/>
            <w:left w:w="0" w:type="dxa"/>
            <w:bottom w:w="0" w:type="dxa"/>
            <w:right w:w="0"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Times New Roman"/>
                <w:color w:val="000000"/>
                <w:sz w:val="20"/>
                <w:szCs w:val="20"/>
              </w:rPr>
            </w:pP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Times New Roman"/>
                <w:color w:val="000000"/>
                <w:sz w:val="20"/>
                <w:szCs w:val="20"/>
              </w:rPr>
            </w:pPr>
            <w:r>
              <w:rPr>
                <w:rFonts w:hint="eastAsia" w:cs="宋体"/>
                <w:color w:val="000000"/>
                <w:sz w:val="20"/>
                <w:szCs w:val="20"/>
              </w:rPr>
              <w:t>栏次</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color w:val="000000"/>
                <w:sz w:val="20"/>
                <w:szCs w:val="20"/>
              </w:rPr>
            </w:pPr>
            <w:r>
              <w:rPr>
                <w:color w:val="000000"/>
                <w:sz w:val="20"/>
                <w:szCs w:val="20"/>
              </w:rPr>
              <w:t>1</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color w:val="000000"/>
                <w:sz w:val="20"/>
                <w:szCs w:val="20"/>
              </w:rPr>
            </w:pPr>
            <w:r>
              <w:rPr>
                <w:color w:val="000000"/>
                <w:sz w:val="20"/>
                <w:szCs w:val="20"/>
              </w:rPr>
              <w:t>2</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color w:val="000000"/>
                <w:sz w:val="20"/>
                <w:szCs w:val="20"/>
              </w:rPr>
            </w:pPr>
            <w:r>
              <w:rPr>
                <w:color w:val="000000"/>
                <w:sz w:val="20"/>
                <w:szCs w:val="20"/>
              </w:rPr>
              <w:t>3</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color w:val="000000"/>
                <w:sz w:val="20"/>
                <w:szCs w:val="20"/>
              </w:rPr>
            </w:pPr>
            <w:r>
              <w:rPr>
                <w:color w:val="000000"/>
                <w:sz w:val="20"/>
                <w:szCs w:val="20"/>
              </w:rPr>
              <w:t>4</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color w:val="000000"/>
                <w:sz w:val="20"/>
                <w:szCs w:val="20"/>
              </w:rPr>
            </w:pPr>
            <w:r>
              <w:rPr>
                <w:color w:val="000000"/>
                <w:sz w:val="20"/>
                <w:szCs w:val="20"/>
              </w:rPr>
              <w:t>5</w:t>
            </w:r>
          </w:p>
        </w:tc>
        <w:tc>
          <w:tcPr>
            <w:tcW w:w="0" w:type="auto"/>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color w:val="000000"/>
                <w:sz w:val="20"/>
                <w:szCs w:val="20"/>
              </w:rPr>
            </w:pPr>
            <w:r>
              <w:rPr>
                <w:color w:val="000000"/>
                <w:sz w:val="20"/>
                <w:szCs w:val="20"/>
              </w:rPr>
              <w:t>6</w:t>
            </w:r>
          </w:p>
        </w:tc>
      </w:tr>
      <w:tr>
        <w:tblPrEx>
          <w:tblCellMar>
            <w:top w:w="0" w:type="dxa"/>
            <w:left w:w="0" w:type="dxa"/>
            <w:bottom w:w="0" w:type="dxa"/>
            <w:right w:w="0"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textAlignment w:val="center"/>
              <w:rPr>
                <w:rFonts w:cs="Times New Roman"/>
                <w:color w:val="000000"/>
                <w:sz w:val="20"/>
                <w:szCs w:val="20"/>
              </w:rPr>
            </w:pPr>
            <w:r>
              <w:rPr>
                <w:rFonts w:hint="eastAsia" w:cs="宋体"/>
                <w:color w:val="000000"/>
                <w:sz w:val="20"/>
                <w:szCs w:val="20"/>
              </w:rPr>
              <w:t>合计</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b/>
                <w:bCs/>
                <w:color w:val="000000"/>
                <w:sz w:val="20"/>
                <w:szCs w:val="20"/>
              </w:rPr>
            </w:pPr>
            <w:r>
              <w:rPr>
                <w:b/>
                <w:bCs/>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b/>
                <w:bCs/>
                <w:color w:val="000000"/>
                <w:sz w:val="20"/>
                <w:szCs w:val="20"/>
              </w:rPr>
            </w:pPr>
            <w:r>
              <w:rPr>
                <w:b/>
                <w:bCs/>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b/>
                <w:bCs/>
                <w:color w:val="000000"/>
                <w:sz w:val="20"/>
                <w:szCs w:val="20"/>
              </w:rPr>
            </w:pPr>
            <w:r>
              <w:rPr>
                <w:b/>
                <w:bCs/>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b/>
                <w:bCs/>
                <w:color w:val="000000"/>
                <w:sz w:val="20"/>
                <w:szCs w:val="20"/>
              </w:rPr>
            </w:pPr>
            <w:r>
              <w:rPr>
                <w:b/>
                <w:bCs/>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b/>
                <w:bCs/>
                <w:color w:val="000000"/>
                <w:sz w:val="20"/>
                <w:szCs w:val="20"/>
              </w:rPr>
            </w:pPr>
            <w:r>
              <w:rPr>
                <w:b/>
                <w:bCs/>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b/>
                <w:bCs/>
                <w:color w:val="000000"/>
                <w:sz w:val="20"/>
                <w:szCs w:val="20"/>
              </w:rPr>
            </w:pPr>
            <w:r>
              <w:rPr>
                <w:b/>
                <w:bCs/>
                <w:color w:val="000000"/>
                <w:sz w:val="20"/>
                <w:szCs w:val="20"/>
              </w:rPr>
              <w:t>0.00</w:t>
            </w:r>
          </w:p>
        </w:tc>
      </w:tr>
      <w:tr>
        <w:tblPrEx>
          <w:tblCellMar>
            <w:top w:w="0" w:type="dxa"/>
            <w:left w:w="0" w:type="dxa"/>
            <w:bottom w:w="0" w:type="dxa"/>
            <w:right w:w="0"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Times New Roman"/>
                <w:color w:val="000000"/>
                <w:sz w:val="20"/>
                <w:szCs w:val="20"/>
              </w:rPr>
            </w:pPr>
          </w:p>
        </w:tc>
        <w:tc>
          <w:tcPr>
            <w:tcW w:w="0" w:type="auto"/>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rPr>
                <w:rFonts w:cs="Times New Roman"/>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Times New Roman"/>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Times New Roman"/>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Times New Roman"/>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Times New Roman"/>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Times New Roman"/>
                <w:color w:val="000000"/>
                <w:sz w:val="20"/>
                <w:szCs w:val="20"/>
              </w:rPr>
            </w:pPr>
          </w:p>
        </w:tc>
        <w:tc>
          <w:tcPr>
            <w:tcW w:w="0" w:type="auto"/>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Times New Roman"/>
                <w:color w:val="000000"/>
                <w:sz w:val="20"/>
                <w:szCs w:val="20"/>
              </w:rPr>
            </w:pPr>
          </w:p>
        </w:tc>
      </w:tr>
      <w:tr>
        <w:tblPrEx>
          <w:tblCellMar>
            <w:top w:w="0" w:type="dxa"/>
            <w:left w:w="0" w:type="dxa"/>
            <w:bottom w:w="0" w:type="dxa"/>
            <w:right w:w="0" w:type="dxa"/>
          </w:tblCellMar>
        </w:tblPrEx>
        <w:trPr>
          <w:trHeight w:val="300" w:hRule="atLeast"/>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pPr>
              <w:pStyle w:val="8"/>
              <w:spacing w:before="0" w:beforeAutospacing="0"/>
              <w:ind w:firstLine="500" w:firstLineChars="250"/>
              <w:outlineLvl w:val="1"/>
              <w:rPr>
                <w:rFonts w:cs="Times New Roman"/>
                <w:sz w:val="20"/>
                <w:szCs w:val="20"/>
                <w:shd w:val="clear" w:color="auto" w:fill="FFFFFF"/>
              </w:rPr>
            </w:pPr>
            <w:r>
              <w:rPr>
                <w:rFonts w:hint="eastAsia"/>
                <w:color w:val="000000"/>
                <w:sz w:val="20"/>
                <w:szCs w:val="20"/>
              </w:rPr>
              <w:t>注：本表反映部门本年度政府性基金预算财政拨款收入、支出及结转和结余情况。</w:t>
            </w:r>
            <w:r>
              <w:rPr>
                <w:sz w:val="20"/>
                <w:szCs w:val="20"/>
                <w:shd w:val="clear" w:color="auto" w:fill="FFFFFF"/>
              </w:rPr>
              <w:t>2020</w:t>
            </w:r>
            <w:r>
              <w:rPr>
                <w:rFonts w:hint="eastAsia"/>
                <w:sz w:val="20"/>
                <w:szCs w:val="20"/>
                <w:shd w:val="clear" w:color="auto" w:fill="FFFFFF"/>
              </w:rPr>
              <w:t>年度本部门无政府性基金收支，因此本表无数据。</w:t>
            </w:r>
          </w:p>
          <w:p>
            <w:pPr>
              <w:textAlignment w:val="center"/>
              <w:rPr>
                <w:rFonts w:cs="Times New Roman"/>
                <w:color w:val="000000"/>
                <w:sz w:val="20"/>
                <w:szCs w:val="20"/>
              </w:rPr>
            </w:pPr>
          </w:p>
        </w:tc>
      </w:tr>
    </w:tbl>
    <w:p>
      <w:pPr>
        <w:pStyle w:val="8"/>
        <w:spacing w:before="0" w:beforeAutospacing="0"/>
        <w:jc w:val="center"/>
        <w:rPr>
          <w:rStyle w:val="11"/>
          <w:rFonts w:ascii="楷体" w:hAnsi="楷体" w:eastAsia="楷体" w:cs="Times New Roman"/>
          <w:sz w:val="32"/>
          <w:szCs w:val="32"/>
          <w:shd w:val="clear" w:color="auto" w:fill="FFFFFF"/>
        </w:rPr>
      </w:pPr>
    </w:p>
    <w:p>
      <w:pPr>
        <w:pStyle w:val="8"/>
        <w:spacing w:before="0" w:beforeAutospacing="0"/>
        <w:ind w:firstLine="480" w:firstLineChars="150"/>
        <w:outlineLvl w:val="1"/>
        <w:rPr>
          <w:rStyle w:val="11"/>
          <w:rFonts w:ascii="楷体_GB2312" w:eastAsia="楷体_GB2312" w:cs="Times New Roman"/>
          <w:b w:val="0"/>
          <w:bCs w:val="0"/>
          <w:sz w:val="32"/>
          <w:szCs w:val="32"/>
        </w:rPr>
      </w:pPr>
      <w:r>
        <w:rPr>
          <w:rStyle w:val="11"/>
          <w:rFonts w:hint="eastAsia" w:ascii="楷体_GB2312" w:eastAsia="楷体_GB2312" w:cs="楷体_GB2312"/>
          <w:sz w:val="32"/>
          <w:szCs w:val="32"/>
        </w:rPr>
        <w:t>九、国有资本经营预算财政拨款支出决算表</w:t>
      </w:r>
    </w:p>
    <w:tbl>
      <w:tblPr>
        <w:tblStyle w:val="9"/>
        <w:tblW w:w="8457" w:type="dxa"/>
        <w:tblInd w:w="-106" w:type="dxa"/>
        <w:tblLayout w:type="autofit"/>
        <w:tblCellMar>
          <w:top w:w="0" w:type="dxa"/>
          <w:left w:w="108" w:type="dxa"/>
          <w:bottom w:w="0" w:type="dxa"/>
          <w:right w:w="108" w:type="dxa"/>
        </w:tblCellMar>
      </w:tblPr>
      <w:tblGrid>
        <w:gridCol w:w="817"/>
        <w:gridCol w:w="817"/>
        <w:gridCol w:w="236"/>
        <w:gridCol w:w="154"/>
        <w:gridCol w:w="1393"/>
        <w:gridCol w:w="154"/>
        <w:gridCol w:w="1526"/>
        <w:gridCol w:w="154"/>
        <w:gridCol w:w="1526"/>
        <w:gridCol w:w="154"/>
        <w:gridCol w:w="1448"/>
        <w:gridCol w:w="78"/>
      </w:tblGrid>
      <w:tr>
        <w:tblPrEx>
          <w:tblCellMar>
            <w:top w:w="0" w:type="dxa"/>
            <w:left w:w="108" w:type="dxa"/>
            <w:bottom w:w="0" w:type="dxa"/>
            <w:right w:w="108" w:type="dxa"/>
          </w:tblCellMar>
        </w:tblPrEx>
        <w:trPr>
          <w:gridAfter w:val="1"/>
          <w:wAfter w:w="78" w:type="dxa"/>
          <w:trHeight w:val="300" w:hRule="atLeast"/>
        </w:trPr>
        <w:tc>
          <w:tcPr>
            <w:tcW w:w="817" w:type="dxa"/>
            <w:tcBorders>
              <w:top w:val="nil"/>
              <w:left w:val="nil"/>
              <w:bottom w:val="nil"/>
              <w:right w:val="nil"/>
            </w:tcBorders>
            <w:shd w:val="clear" w:color="000000" w:fill="FFFFFF"/>
            <w:noWrap/>
            <w:vAlign w:val="center"/>
          </w:tcPr>
          <w:p>
            <w:pPr>
              <w:rPr>
                <w:rFonts w:cs="Times New Roman"/>
                <w:sz w:val="18"/>
                <w:szCs w:val="18"/>
              </w:rPr>
            </w:pPr>
            <w:r>
              <w:rPr>
                <w:rFonts w:hint="eastAsia" w:cs="宋体"/>
                <w:sz w:val="18"/>
                <w:szCs w:val="18"/>
              </w:rPr>
              <w:t>　</w:t>
            </w:r>
          </w:p>
        </w:tc>
        <w:tc>
          <w:tcPr>
            <w:tcW w:w="817" w:type="dxa"/>
            <w:tcBorders>
              <w:top w:val="nil"/>
              <w:left w:val="nil"/>
              <w:bottom w:val="nil"/>
              <w:right w:val="nil"/>
            </w:tcBorders>
            <w:shd w:val="clear" w:color="000000" w:fill="FFFFFF"/>
            <w:noWrap/>
            <w:vAlign w:val="center"/>
          </w:tcPr>
          <w:p>
            <w:pPr>
              <w:rPr>
                <w:rFonts w:cs="Times New Roman"/>
                <w:sz w:val="18"/>
                <w:szCs w:val="18"/>
              </w:rPr>
            </w:pPr>
            <w:r>
              <w:rPr>
                <w:rFonts w:hint="eastAsia" w:cs="宋体"/>
                <w:sz w:val="18"/>
                <w:szCs w:val="18"/>
              </w:rPr>
              <w:t>　</w:t>
            </w:r>
          </w:p>
        </w:tc>
        <w:tc>
          <w:tcPr>
            <w:tcW w:w="390" w:type="dxa"/>
            <w:gridSpan w:val="2"/>
            <w:tcBorders>
              <w:top w:val="nil"/>
              <w:left w:val="nil"/>
              <w:bottom w:val="nil"/>
              <w:right w:val="nil"/>
            </w:tcBorders>
            <w:shd w:val="clear" w:color="000000" w:fill="FFFFFF"/>
            <w:noWrap/>
            <w:vAlign w:val="center"/>
          </w:tcPr>
          <w:p>
            <w:pPr>
              <w:rPr>
                <w:rFonts w:cs="Times New Roman"/>
                <w:sz w:val="18"/>
                <w:szCs w:val="18"/>
              </w:rPr>
            </w:pPr>
            <w:r>
              <w:rPr>
                <w:rFonts w:hint="eastAsia" w:cs="宋体"/>
                <w:sz w:val="18"/>
                <w:szCs w:val="18"/>
              </w:rPr>
              <w:t>　</w:t>
            </w:r>
          </w:p>
        </w:tc>
        <w:tc>
          <w:tcPr>
            <w:tcW w:w="1547" w:type="dxa"/>
            <w:gridSpan w:val="2"/>
            <w:tcBorders>
              <w:top w:val="nil"/>
              <w:left w:val="nil"/>
              <w:bottom w:val="nil"/>
              <w:right w:val="nil"/>
            </w:tcBorders>
            <w:shd w:val="clear" w:color="000000" w:fill="FFFFFF"/>
            <w:noWrap/>
            <w:vAlign w:val="center"/>
          </w:tcPr>
          <w:p>
            <w:pPr>
              <w:rPr>
                <w:rFonts w:cs="Times New Roman"/>
                <w:sz w:val="18"/>
                <w:szCs w:val="18"/>
              </w:rPr>
            </w:pPr>
            <w:r>
              <w:rPr>
                <w:rFonts w:hint="eastAsia" w:cs="宋体"/>
                <w:sz w:val="18"/>
                <w:szCs w:val="18"/>
              </w:rPr>
              <w:t>　</w:t>
            </w:r>
          </w:p>
        </w:tc>
        <w:tc>
          <w:tcPr>
            <w:tcW w:w="1680" w:type="dxa"/>
            <w:gridSpan w:val="2"/>
            <w:tcBorders>
              <w:top w:val="nil"/>
              <w:left w:val="nil"/>
              <w:bottom w:val="nil"/>
              <w:right w:val="nil"/>
            </w:tcBorders>
            <w:shd w:val="clear" w:color="000000" w:fill="FFFFFF"/>
            <w:noWrap/>
            <w:vAlign w:val="center"/>
          </w:tcPr>
          <w:p>
            <w:pPr>
              <w:rPr>
                <w:rFonts w:cs="Times New Roman"/>
                <w:sz w:val="18"/>
                <w:szCs w:val="18"/>
              </w:rPr>
            </w:pPr>
            <w:r>
              <w:rPr>
                <w:rFonts w:hint="eastAsia" w:cs="宋体"/>
                <w:sz w:val="18"/>
                <w:szCs w:val="18"/>
              </w:rPr>
              <w:t>　</w:t>
            </w:r>
          </w:p>
        </w:tc>
        <w:tc>
          <w:tcPr>
            <w:tcW w:w="1680" w:type="dxa"/>
            <w:gridSpan w:val="2"/>
            <w:tcBorders>
              <w:top w:val="nil"/>
              <w:left w:val="nil"/>
              <w:bottom w:val="nil"/>
              <w:right w:val="nil"/>
            </w:tcBorders>
            <w:shd w:val="clear" w:color="000000" w:fill="FFFFFF"/>
            <w:noWrap/>
            <w:vAlign w:val="center"/>
          </w:tcPr>
          <w:p>
            <w:pPr>
              <w:rPr>
                <w:rFonts w:cs="Times New Roman"/>
                <w:sz w:val="18"/>
                <w:szCs w:val="18"/>
              </w:rPr>
            </w:pPr>
            <w:r>
              <w:rPr>
                <w:rFonts w:hint="eastAsia" w:cs="宋体"/>
                <w:sz w:val="18"/>
                <w:szCs w:val="18"/>
              </w:rPr>
              <w:t>　</w:t>
            </w:r>
          </w:p>
        </w:tc>
        <w:tc>
          <w:tcPr>
            <w:tcW w:w="1448" w:type="dxa"/>
            <w:tcBorders>
              <w:top w:val="nil"/>
              <w:left w:val="nil"/>
              <w:bottom w:val="nil"/>
            </w:tcBorders>
            <w:shd w:val="clear" w:color="000000" w:fill="FFFFFF"/>
            <w:noWrap/>
            <w:vAlign w:val="center"/>
          </w:tcPr>
          <w:p>
            <w:pPr>
              <w:jc w:val="right"/>
              <w:rPr>
                <w:rFonts w:cs="Times New Roman"/>
                <w:color w:val="000000"/>
                <w:sz w:val="22"/>
                <w:szCs w:val="22"/>
              </w:rPr>
            </w:pPr>
            <w:r>
              <w:rPr>
                <w:rFonts w:hint="eastAsia" w:cs="宋体"/>
                <w:color w:val="000000"/>
                <w:sz w:val="22"/>
                <w:szCs w:val="22"/>
              </w:rPr>
              <w:t>公开</w:t>
            </w:r>
            <w:r>
              <w:rPr>
                <w:color w:val="000000"/>
                <w:sz w:val="22"/>
                <w:szCs w:val="22"/>
              </w:rPr>
              <w:t>09</w:t>
            </w:r>
            <w:r>
              <w:rPr>
                <w:rFonts w:hint="eastAsia" w:cs="宋体"/>
                <w:color w:val="000000"/>
                <w:sz w:val="22"/>
                <w:szCs w:val="22"/>
              </w:rPr>
              <w:t>表</w:t>
            </w:r>
          </w:p>
        </w:tc>
      </w:tr>
      <w:tr>
        <w:tblPrEx>
          <w:tblCellMar>
            <w:top w:w="0" w:type="dxa"/>
            <w:left w:w="108" w:type="dxa"/>
            <w:bottom w:w="0" w:type="dxa"/>
            <w:right w:w="108" w:type="dxa"/>
          </w:tblCellMar>
        </w:tblPrEx>
        <w:trPr>
          <w:trHeight w:val="300" w:hRule="atLeast"/>
        </w:trPr>
        <w:tc>
          <w:tcPr>
            <w:tcW w:w="3417" w:type="dxa"/>
            <w:gridSpan w:val="5"/>
            <w:tcBorders>
              <w:top w:val="nil"/>
              <w:left w:val="nil"/>
              <w:bottom w:val="single" w:color="808080" w:sz="4" w:space="0"/>
              <w:right w:val="nil"/>
            </w:tcBorders>
            <w:shd w:val="clear" w:color="000000" w:fill="FFFFFF"/>
            <w:noWrap/>
            <w:vAlign w:val="center"/>
          </w:tcPr>
          <w:p>
            <w:pPr>
              <w:rPr>
                <w:rFonts w:cs="Times New Roman"/>
                <w:color w:val="000000"/>
                <w:sz w:val="22"/>
                <w:szCs w:val="22"/>
              </w:rPr>
            </w:pPr>
            <w:r>
              <w:rPr>
                <w:rFonts w:hint="eastAsia" w:cs="宋体"/>
                <w:color w:val="000000"/>
                <w:sz w:val="22"/>
                <w:szCs w:val="22"/>
              </w:rPr>
              <w:t>部门：冷水江市人民检察院</w:t>
            </w:r>
          </w:p>
        </w:tc>
        <w:tc>
          <w:tcPr>
            <w:tcW w:w="1680" w:type="dxa"/>
            <w:gridSpan w:val="2"/>
            <w:tcBorders>
              <w:top w:val="nil"/>
              <w:left w:val="nil"/>
              <w:bottom w:val="single" w:color="auto" w:sz="4" w:space="0"/>
              <w:right w:val="nil"/>
            </w:tcBorders>
            <w:shd w:val="clear" w:color="000000" w:fill="FFFFFF"/>
            <w:noWrap/>
            <w:vAlign w:val="center"/>
          </w:tcPr>
          <w:p>
            <w:pPr>
              <w:rPr>
                <w:rFonts w:cs="Times New Roman"/>
                <w:sz w:val="18"/>
                <w:szCs w:val="18"/>
              </w:rPr>
            </w:pPr>
            <w:r>
              <w:rPr>
                <w:rFonts w:hint="eastAsia" w:cs="宋体"/>
                <w:sz w:val="18"/>
                <w:szCs w:val="18"/>
              </w:rPr>
              <w:t>　</w:t>
            </w:r>
            <w:r>
              <w:rPr>
                <w:color w:val="000000"/>
                <w:sz w:val="22"/>
                <w:szCs w:val="22"/>
              </w:rPr>
              <w:t>2020</w:t>
            </w:r>
            <w:r>
              <w:rPr>
                <w:rFonts w:hint="eastAsia" w:cs="宋体"/>
                <w:color w:val="000000"/>
                <w:sz w:val="22"/>
                <w:szCs w:val="22"/>
              </w:rPr>
              <w:t>年度</w:t>
            </w:r>
          </w:p>
        </w:tc>
        <w:tc>
          <w:tcPr>
            <w:tcW w:w="3360" w:type="dxa"/>
            <w:gridSpan w:val="5"/>
            <w:tcBorders>
              <w:top w:val="nil"/>
              <w:left w:val="nil"/>
              <w:bottom w:val="single" w:color="auto" w:sz="4" w:space="0"/>
            </w:tcBorders>
            <w:shd w:val="clear" w:color="000000" w:fill="FFFFFF"/>
            <w:noWrap/>
            <w:vAlign w:val="center"/>
          </w:tcPr>
          <w:p>
            <w:pPr>
              <w:jc w:val="right"/>
              <w:rPr>
                <w:rFonts w:cs="Times New Roman"/>
                <w:color w:val="000000"/>
                <w:sz w:val="22"/>
                <w:szCs w:val="22"/>
              </w:rPr>
            </w:pPr>
            <w:r>
              <w:rPr>
                <w:rFonts w:hint="eastAsia" w:cs="宋体"/>
                <w:sz w:val="18"/>
                <w:szCs w:val="18"/>
              </w:rPr>
              <w:t>　</w:t>
            </w:r>
            <w:r>
              <w:rPr>
                <w:rFonts w:hint="eastAsia" w:cs="宋体"/>
                <w:color w:val="000000"/>
                <w:sz w:val="22"/>
                <w:szCs w:val="22"/>
              </w:rPr>
              <w:t>金额单位：万元</w:t>
            </w: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auto" w:sz="4" w:space="0"/>
            </w:tcBorders>
            <w:shd w:val="clear" w:color="000000" w:fill="C0C0C0"/>
            <w:noWrap/>
            <w:vAlign w:val="center"/>
          </w:tcPr>
          <w:p>
            <w:pPr>
              <w:rPr>
                <w:rFonts w:cs="Times New Roman"/>
                <w:sz w:val="20"/>
                <w:szCs w:val="20"/>
              </w:rPr>
            </w:pPr>
            <w:r>
              <w:rPr>
                <w:rFonts w:hint="eastAsia" w:cs="宋体"/>
                <w:sz w:val="20"/>
                <w:szCs w:val="20"/>
              </w:rPr>
              <w:t>项目</w:t>
            </w:r>
          </w:p>
        </w:tc>
        <w:tc>
          <w:tcPr>
            <w:tcW w:w="5040" w:type="dxa"/>
            <w:gridSpan w:val="7"/>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cs="Times New Roman"/>
                <w:sz w:val="20"/>
                <w:szCs w:val="20"/>
              </w:rPr>
            </w:pPr>
            <w:r>
              <w:rPr>
                <w:rFonts w:hint="eastAsia" w:cs="宋体"/>
                <w:sz w:val="20"/>
                <w:szCs w:val="20"/>
              </w:rPr>
              <w:t>本年支出</w:t>
            </w:r>
          </w:p>
        </w:tc>
      </w:tr>
      <w:tr>
        <w:tblPrEx>
          <w:tblCellMar>
            <w:top w:w="0" w:type="dxa"/>
            <w:left w:w="108" w:type="dxa"/>
            <w:bottom w:w="0" w:type="dxa"/>
            <w:right w:w="108" w:type="dxa"/>
          </w:tblCellMar>
        </w:tblPrEx>
        <w:trPr>
          <w:trHeight w:val="312" w:hRule="atLeast"/>
        </w:trPr>
        <w:tc>
          <w:tcPr>
            <w:tcW w:w="1870"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Times New Roman"/>
                <w:sz w:val="20"/>
                <w:szCs w:val="20"/>
              </w:rPr>
            </w:pPr>
            <w:r>
              <w:rPr>
                <w:rFonts w:hint="eastAsia" w:cs="宋体"/>
                <w:sz w:val="20"/>
                <w:szCs w:val="20"/>
              </w:rPr>
              <w:t>功能分类科目编码</w:t>
            </w:r>
          </w:p>
        </w:tc>
        <w:tc>
          <w:tcPr>
            <w:tcW w:w="1547" w:type="dxa"/>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cs="Times New Roman"/>
                <w:sz w:val="20"/>
                <w:szCs w:val="20"/>
              </w:rPr>
            </w:pPr>
            <w:r>
              <w:rPr>
                <w:rFonts w:hint="eastAsia" w:cs="宋体"/>
                <w:sz w:val="20"/>
                <w:szCs w:val="20"/>
              </w:rPr>
              <w:t>科目名称</w:t>
            </w:r>
          </w:p>
        </w:tc>
        <w:tc>
          <w:tcPr>
            <w:tcW w:w="1680"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Times New Roman"/>
                <w:sz w:val="20"/>
                <w:szCs w:val="20"/>
              </w:rPr>
            </w:pPr>
            <w:r>
              <w:rPr>
                <w:rFonts w:hint="eastAsia" w:cs="宋体"/>
                <w:sz w:val="20"/>
                <w:szCs w:val="20"/>
              </w:rPr>
              <w:t>合计</w:t>
            </w:r>
          </w:p>
        </w:tc>
        <w:tc>
          <w:tcPr>
            <w:tcW w:w="1680"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Times New Roman"/>
                <w:sz w:val="20"/>
                <w:szCs w:val="20"/>
              </w:rPr>
            </w:pPr>
            <w:r>
              <w:rPr>
                <w:rFonts w:hint="eastAsia" w:cs="宋体"/>
                <w:sz w:val="20"/>
                <w:szCs w:val="20"/>
              </w:rPr>
              <w:t>基本支出</w:t>
            </w:r>
          </w:p>
        </w:tc>
        <w:tc>
          <w:tcPr>
            <w:tcW w:w="1680" w:type="dxa"/>
            <w:gridSpan w:val="3"/>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Times New Roman"/>
                <w:sz w:val="20"/>
                <w:szCs w:val="20"/>
              </w:rPr>
            </w:pPr>
            <w:r>
              <w:rPr>
                <w:rFonts w:hint="eastAsia" w:cs="宋体"/>
                <w:sz w:val="20"/>
                <w:szCs w:val="20"/>
              </w:rPr>
              <w:t>项目支出</w:t>
            </w:r>
          </w:p>
        </w:tc>
      </w:tr>
      <w:tr>
        <w:tblPrEx>
          <w:tblCellMar>
            <w:top w:w="0" w:type="dxa"/>
            <w:left w:w="108" w:type="dxa"/>
            <w:bottom w:w="0" w:type="dxa"/>
            <w:right w:w="108" w:type="dxa"/>
          </w:tblCellMar>
        </w:tblPrEx>
        <w:trPr>
          <w:trHeight w:val="312" w:hRule="atLeast"/>
        </w:trPr>
        <w:tc>
          <w:tcPr>
            <w:tcW w:w="1870" w:type="dxa"/>
            <w:gridSpan w:val="3"/>
            <w:vMerge w:val="continue"/>
            <w:tcBorders>
              <w:top w:val="nil"/>
              <w:left w:val="single" w:color="000000" w:sz="4" w:space="0"/>
              <w:bottom w:val="single" w:color="000000" w:sz="4" w:space="0"/>
              <w:right w:val="single" w:color="000000" w:sz="4" w:space="0"/>
            </w:tcBorders>
            <w:vAlign w:val="center"/>
          </w:tcPr>
          <w:p>
            <w:pPr>
              <w:rPr>
                <w:rFonts w:cs="Times New Roman"/>
                <w:sz w:val="20"/>
                <w:szCs w:val="20"/>
              </w:rPr>
            </w:pPr>
          </w:p>
        </w:tc>
        <w:tc>
          <w:tcPr>
            <w:tcW w:w="1547" w:type="dxa"/>
            <w:gridSpan w:val="2"/>
            <w:vMerge w:val="continue"/>
            <w:tcBorders>
              <w:top w:val="nil"/>
              <w:left w:val="nil"/>
              <w:bottom w:val="single" w:color="000000" w:sz="4" w:space="0"/>
              <w:right w:val="single" w:color="000000" w:sz="4" w:space="0"/>
            </w:tcBorders>
            <w:vAlign w:val="center"/>
          </w:tcPr>
          <w:p>
            <w:pPr>
              <w:rPr>
                <w:rFonts w:cs="Times New Roman"/>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Times New Roman"/>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Times New Roman"/>
                <w:sz w:val="20"/>
                <w:szCs w:val="20"/>
              </w:rPr>
            </w:pPr>
          </w:p>
        </w:tc>
        <w:tc>
          <w:tcPr>
            <w:tcW w:w="1680" w:type="dxa"/>
            <w:gridSpan w:val="3"/>
            <w:vMerge w:val="continue"/>
            <w:tcBorders>
              <w:top w:val="nil"/>
              <w:left w:val="nil"/>
              <w:bottom w:val="single" w:color="000000" w:sz="4" w:space="0"/>
              <w:right w:val="single" w:color="000000" w:sz="4" w:space="0"/>
            </w:tcBorders>
            <w:vAlign w:val="center"/>
          </w:tcPr>
          <w:p>
            <w:pPr>
              <w:rPr>
                <w:rFonts w:cs="Times New Roman"/>
                <w:sz w:val="20"/>
                <w:szCs w:val="20"/>
              </w:rPr>
            </w:pPr>
          </w:p>
        </w:tc>
      </w:tr>
      <w:tr>
        <w:tblPrEx>
          <w:tblCellMar>
            <w:top w:w="0" w:type="dxa"/>
            <w:left w:w="108" w:type="dxa"/>
            <w:bottom w:w="0" w:type="dxa"/>
            <w:right w:w="108" w:type="dxa"/>
          </w:tblCellMar>
        </w:tblPrEx>
        <w:trPr>
          <w:trHeight w:val="312" w:hRule="atLeast"/>
        </w:trPr>
        <w:tc>
          <w:tcPr>
            <w:tcW w:w="1870" w:type="dxa"/>
            <w:gridSpan w:val="3"/>
            <w:vMerge w:val="continue"/>
            <w:tcBorders>
              <w:top w:val="nil"/>
              <w:left w:val="single" w:color="000000" w:sz="4" w:space="0"/>
              <w:bottom w:val="single" w:color="000000" w:sz="4" w:space="0"/>
              <w:right w:val="single" w:color="000000" w:sz="4" w:space="0"/>
            </w:tcBorders>
            <w:vAlign w:val="center"/>
          </w:tcPr>
          <w:p>
            <w:pPr>
              <w:rPr>
                <w:rFonts w:cs="Times New Roman"/>
                <w:sz w:val="20"/>
                <w:szCs w:val="20"/>
              </w:rPr>
            </w:pPr>
          </w:p>
        </w:tc>
        <w:tc>
          <w:tcPr>
            <w:tcW w:w="1547" w:type="dxa"/>
            <w:gridSpan w:val="2"/>
            <w:vMerge w:val="continue"/>
            <w:tcBorders>
              <w:top w:val="nil"/>
              <w:left w:val="nil"/>
              <w:bottom w:val="single" w:color="000000" w:sz="4" w:space="0"/>
              <w:right w:val="single" w:color="000000" w:sz="4" w:space="0"/>
            </w:tcBorders>
            <w:vAlign w:val="center"/>
          </w:tcPr>
          <w:p>
            <w:pPr>
              <w:rPr>
                <w:rFonts w:cs="Times New Roman"/>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Times New Roman"/>
                <w:sz w:val="20"/>
                <w:szCs w:val="20"/>
              </w:rPr>
            </w:pPr>
          </w:p>
        </w:tc>
        <w:tc>
          <w:tcPr>
            <w:tcW w:w="1680" w:type="dxa"/>
            <w:gridSpan w:val="2"/>
            <w:vMerge w:val="continue"/>
            <w:tcBorders>
              <w:top w:val="nil"/>
              <w:left w:val="nil"/>
              <w:bottom w:val="single" w:color="000000" w:sz="4" w:space="0"/>
              <w:right w:val="single" w:color="000000" w:sz="4" w:space="0"/>
            </w:tcBorders>
            <w:vAlign w:val="center"/>
          </w:tcPr>
          <w:p>
            <w:pPr>
              <w:rPr>
                <w:rFonts w:cs="Times New Roman"/>
                <w:sz w:val="20"/>
                <w:szCs w:val="20"/>
              </w:rPr>
            </w:pPr>
          </w:p>
        </w:tc>
        <w:tc>
          <w:tcPr>
            <w:tcW w:w="1680" w:type="dxa"/>
            <w:gridSpan w:val="3"/>
            <w:vMerge w:val="continue"/>
            <w:tcBorders>
              <w:top w:val="nil"/>
              <w:left w:val="nil"/>
              <w:bottom w:val="single" w:color="000000" w:sz="4" w:space="0"/>
              <w:right w:val="single" w:color="000000" w:sz="4" w:space="0"/>
            </w:tcBorders>
            <w:vAlign w:val="center"/>
          </w:tcPr>
          <w:p>
            <w:pPr>
              <w:rPr>
                <w:rFonts w:cs="Times New Roman"/>
                <w:sz w:val="20"/>
                <w:szCs w:val="20"/>
              </w:rPr>
            </w:pP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Times New Roman"/>
                <w:sz w:val="20"/>
                <w:szCs w:val="20"/>
              </w:rPr>
            </w:pPr>
            <w:r>
              <w:rPr>
                <w:rFonts w:hint="eastAsia" w:cs="宋体"/>
                <w:sz w:val="20"/>
                <w:szCs w:val="20"/>
              </w:rPr>
              <w:t>栏次</w:t>
            </w:r>
          </w:p>
        </w:tc>
        <w:tc>
          <w:tcPr>
            <w:tcW w:w="1680" w:type="dxa"/>
            <w:gridSpan w:val="2"/>
            <w:tcBorders>
              <w:top w:val="nil"/>
              <w:left w:val="nil"/>
              <w:bottom w:val="single" w:color="000000" w:sz="4" w:space="0"/>
              <w:right w:val="single" w:color="000000" w:sz="4" w:space="0"/>
            </w:tcBorders>
            <w:shd w:val="clear" w:color="000000" w:fill="C0C0C0"/>
            <w:noWrap/>
            <w:vAlign w:val="center"/>
          </w:tcPr>
          <w:p>
            <w:pPr>
              <w:jc w:val="center"/>
              <w:rPr>
                <w:sz w:val="20"/>
                <w:szCs w:val="20"/>
              </w:rPr>
            </w:pPr>
            <w:r>
              <w:rPr>
                <w:sz w:val="20"/>
                <w:szCs w:val="20"/>
              </w:rPr>
              <w:t>1</w:t>
            </w:r>
          </w:p>
        </w:tc>
        <w:tc>
          <w:tcPr>
            <w:tcW w:w="1680" w:type="dxa"/>
            <w:gridSpan w:val="2"/>
            <w:tcBorders>
              <w:top w:val="nil"/>
              <w:left w:val="nil"/>
              <w:bottom w:val="single" w:color="000000" w:sz="4" w:space="0"/>
              <w:right w:val="single" w:color="000000" w:sz="4" w:space="0"/>
            </w:tcBorders>
            <w:shd w:val="clear" w:color="000000" w:fill="C0C0C0"/>
            <w:noWrap/>
            <w:vAlign w:val="center"/>
          </w:tcPr>
          <w:p>
            <w:pPr>
              <w:jc w:val="center"/>
              <w:rPr>
                <w:sz w:val="20"/>
                <w:szCs w:val="20"/>
              </w:rPr>
            </w:pPr>
            <w:r>
              <w:rPr>
                <w:sz w:val="20"/>
                <w:szCs w:val="20"/>
              </w:rPr>
              <w:t>2</w:t>
            </w:r>
          </w:p>
        </w:tc>
        <w:tc>
          <w:tcPr>
            <w:tcW w:w="1680" w:type="dxa"/>
            <w:gridSpan w:val="3"/>
            <w:tcBorders>
              <w:top w:val="nil"/>
              <w:left w:val="nil"/>
              <w:bottom w:val="single" w:color="000000" w:sz="4" w:space="0"/>
              <w:right w:val="single" w:color="000000" w:sz="4" w:space="0"/>
            </w:tcBorders>
            <w:shd w:val="clear" w:color="000000" w:fill="C0C0C0"/>
            <w:noWrap/>
            <w:vAlign w:val="center"/>
          </w:tcPr>
          <w:p>
            <w:pPr>
              <w:jc w:val="center"/>
              <w:rPr>
                <w:sz w:val="20"/>
                <w:szCs w:val="20"/>
              </w:rPr>
            </w:pPr>
            <w:r>
              <w:rPr>
                <w:sz w:val="20"/>
                <w:szCs w:val="20"/>
              </w:rPr>
              <w:t>3</w:t>
            </w:r>
          </w:p>
        </w:tc>
      </w:tr>
      <w:tr>
        <w:tblPrEx>
          <w:tblCellMar>
            <w:top w:w="0" w:type="dxa"/>
            <w:left w:w="108" w:type="dxa"/>
            <w:bottom w:w="0" w:type="dxa"/>
            <w:right w:w="108" w:type="dxa"/>
          </w:tblCellMar>
        </w:tblPrEx>
        <w:trPr>
          <w:trHeight w:val="300" w:hRule="atLeast"/>
        </w:trPr>
        <w:tc>
          <w:tcPr>
            <w:tcW w:w="3417" w:type="dxa"/>
            <w:gridSpan w:val="5"/>
            <w:tcBorders>
              <w:top w:val="nil"/>
              <w:left w:val="single" w:color="000000" w:sz="4" w:space="0"/>
              <w:bottom w:val="single" w:color="000000" w:sz="4" w:space="0"/>
              <w:right w:val="single" w:color="000000" w:sz="4" w:space="0"/>
            </w:tcBorders>
            <w:shd w:val="clear" w:color="000000" w:fill="C0C0C0"/>
            <w:noWrap/>
            <w:vAlign w:val="center"/>
          </w:tcPr>
          <w:p>
            <w:pPr>
              <w:rPr>
                <w:rFonts w:cs="Times New Roman"/>
                <w:sz w:val="20"/>
                <w:szCs w:val="20"/>
              </w:rPr>
            </w:pPr>
            <w:r>
              <w:rPr>
                <w:rFonts w:hint="eastAsia" w:cs="宋体"/>
                <w:sz w:val="20"/>
                <w:szCs w:val="20"/>
              </w:rPr>
              <w:t>合计</w:t>
            </w:r>
          </w:p>
        </w:tc>
        <w:tc>
          <w:tcPr>
            <w:tcW w:w="1680" w:type="dxa"/>
            <w:gridSpan w:val="2"/>
            <w:tcBorders>
              <w:top w:val="nil"/>
              <w:left w:val="nil"/>
              <w:bottom w:val="single" w:color="000000" w:sz="4" w:space="0"/>
              <w:right w:val="single" w:color="000000" w:sz="4" w:space="0"/>
            </w:tcBorders>
            <w:shd w:val="clear" w:color="000000" w:fill="00FF00"/>
            <w:noWrap/>
            <w:vAlign w:val="center"/>
          </w:tcPr>
          <w:p>
            <w:pPr>
              <w:jc w:val="right"/>
              <w:rPr>
                <w:rFonts w:cs="Times New Roman"/>
                <w:b/>
                <w:bCs/>
                <w:sz w:val="20"/>
                <w:szCs w:val="20"/>
              </w:rPr>
            </w:pPr>
            <w:r>
              <w:rPr>
                <w:b/>
                <w:bCs/>
                <w:sz w:val="20"/>
                <w:szCs w:val="20"/>
              </w:rPr>
              <w:t>0.00</w:t>
            </w:r>
            <w:r>
              <w:rPr>
                <w:rFonts w:hint="eastAsia" w:cs="宋体"/>
                <w:b/>
                <w:bCs/>
                <w:sz w:val="20"/>
                <w:szCs w:val="20"/>
              </w:rPr>
              <w:t>　</w:t>
            </w:r>
          </w:p>
        </w:tc>
        <w:tc>
          <w:tcPr>
            <w:tcW w:w="1680" w:type="dxa"/>
            <w:gridSpan w:val="2"/>
            <w:tcBorders>
              <w:top w:val="nil"/>
              <w:left w:val="nil"/>
              <w:bottom w:val="single" w:color="000000" w:sz="4" w:space="0"/>
              <w:right w:val="single" w:color="000000" w:sz="4" w:space="0"/>
            </w:tcBorders>
            <w:shd w:val="clear" w:color="000000" w:fill="00FF00"/>
            <w:noWrap/>
            <w:vAlign w:val="center"/>
          </w:tcPr>
          <w:p>
            <w:pPr>
              <w:jc w:val="right"/>
              <w:rPr>
                <w:rFonts w:cs="Times New Roman"/>
                <w:b/>
                <w:bCs/>
                <w:sz w:val="20"/>
                <w:szCs w:val="20"/>
              </w:rPr>
            </w:pPr>
            <w:r>
              <w:rPr>
                <w:b/>
                <w:bCs/>
                <w:sz w:val="20"/>
                <w:szCs w:val="20"/>
              </w:rPr>
              <w:t>0.00</w:t>
            </w:r>
            <w:r>
              <w:rPr>
                <w:rFonts w:hint="eastAsia" w:cs="宋体"/>
                <w:b/>
                <w:bCs/>
                <w:sz w:val="20"/>
                <w:szCs w:val="20"/>
              </w:rPr>
              <w:t>　</w:t>
            </w:r>
          </w:p>
        </w:tc>
        <w:tc>
          <w:tcPr>
            <w:tcW w:w="1680" w:type="dxa"/>
            <w:gridSpan w:val="3"/>
            <w:tcBorders>
              <w:top w:val="nil"/>
              <w:left w:val="nil"/>
              <w:bottom w:val="single" w:color="000000" w:sz="4" w:space="0"/>
              <w:right w:val="single" w:color="000000" w:sz="4" w:space="0"/>
            </w:tcBorders>
            <w:shd w:val="clear" w:color="000000" w:fill="00FF00"/>
            <w:noWrap/>
            <w:vAlign w:val="center"/>
          </w:tcPr>
          <w:p>
            <w:pPr>
              <w:jc w:val="right"/>
              <w:rPr>
                <w:rFonts w:cs="Times New Roman"/>
                <w:b/>
                <w:bCs/>
                <w:sz w:val="20"/>
                <w:szCs w:val="20"/>
              </w:rPr>
            </w:pPr>
            <w:r>
              <w:rPr>
                <w:b/>
                <w:bCs/>
                <w:sz w:val="20"/>
                <w:szCs w:val="20"/>
              </w:rPr>
              <w:t>0.00</w:t>
            </w:r>
            <w:r>
              <w:rPr>
                <w:rFonts w:hint="eastAsia" w:cs="宋体"/>
                <w:b/>
                <w:bCs/>
                <w:sz w:val="20"/>
                <w:szCs w:val="20"/>
              </w:rPr>
              <w:t>　</w:t>
            </w:r>
          </w:p>
        </w:tc>
      </w:tr>
      <w:tr>
        <w:tblPrEx>
          <w:tblCellMar>
            <w:top w:w="0" w:type="dxa"/>
            <w:left w:w="108" w:type="dxa"/>
            <w:bottom w:w="0" w:type="dxa"/>
            <w:right w:w="108" w:type="dxa"/>
          </w:tblCellMar>
        </w:tblPrEx>
        <w:trPr>
          <w:trHeight w:val="300" w:hRule="atLeast"/>
        </w:trPr>
        <w:tc>
          <w:tcPr>
            <w:tcW w:w="1870"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Times New Roman"/>
                <w:sz w:val="20"/>
                <w:szCs w:val="20"/>
              </w:rPr>
            </w:pPr>
            <w:r>
              <w:rPr>
                <w:rFonts w:hint="eastAsia" w:cs="宋体"/>
                <w:sz w:val="20"/>
                <w:szCs w:val="20"/>
              </w:rPr>
              <w:t>　</w:t>
            </w:r>
          </w:p>
        </w:tc>
        <w:tc>
          <w:tcPr>
            <w:tcW w:w="1547" w:type="dxa"/>
            <w:gridSpan w:val="2"/>
            <w:tcBorders>
              <w:top w:val="nil"/>
              <w:left w:val="nil"/>
              <w:bottom w:val="single" w:color="000000" w:sz="4" w:space="0"/>
              <w:right w:val="single" w:color="000000" w:sz="4" w:space="0"/>
            </w:tcBorders>
            <w:shd w:val="clear" w:color="000000" w:fill="CCFFFF"/>
            <w:noWrap/>
            <w:vAlign w:val="center"/>
          </w:tcPr>
          <w:p>
            <w:pPr>
              <w:rPr>
                <w:rFonts w:cs="Times New Roman"/>
                <w:sz w:val="20"/>
                <w:szCs w:val="20"/>
              </w:rPr>
            </w:pPr>
            <w:r>
              <w:rPr>
                <w:rFonts w:hint="eastAsia" w:cs="宋体"/>
                <w:sz w:val="20"/>
                <w:szCs w:val="20"/>
              </w:rPr>
              <w:t>　</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cs="Times New Roman"/>
                <w:sz w:val="20"/>
                <w:szCs w:val="20"/>
              </w:rPr>
            </w:pPr>
            <w:r>
              <w:rPr>
                <w:rFonts w:hint="eastAsia" w:cs="宋体"/>
                <w:sz w:val="20"/>
                <w:szCs w:val="20"/>
              </w:rPr>
              <w:t>　</w:t>
            </w:r>
          </w:p>
        </w:tc>
        <w:tc>
          <w:tcPr>
            <w:tcW w:w="1680" w:type="dxa"/>
            <w:gridSpan w:val="2"/>
            <w:tcBorders>
              <w:top w:val="nil"/>
              <w:left w:val="nil"/>
              <w:bottom w:val="single" w:color="000000" w:sz="4" w:space="0"/>
              <w:right w:val="single" w:color="000000" w:sz="4" w:space="0"/>
            </w:tcBorders>
            <w:shd w:val="clear" w:color="000000" w:fill="FFFFFF"/>
            <w:noWrap/>
            <w:vAlign w:val="center"/>
          </w:tcPr>
          <w:p>
            <w:pPr>
              <w:jc w:val="right"/>
              <w:rPr>
                <w:rFonts w:cs="Times New Roman"/>
                <w:sz w:val="20"/>
                <w:szCs w:val="20"/>
              </w:rPr>
            </w:pPr>
            <w:r>
              <w:rPr>
                <w:rFonts w:hint="eastAsia" w:cs="宋体"/>
                <w:sz w:val="20"/>
                <w:szCs w:val="20"/>
              </w:rPr>
              <w:t>　</w:t>
            </w:r>
          </w:p>
        </w:tc>
        <w:tc>
          <w:tcPr>
            <w:tcW w:w="1680" w:type="dxa"/>
            <w:gridSpan w:val="3"/>
            <w:tcBorders>
              <w:top w:val="nil"/>
              <w:left w:val="nil"/>
              <w:bottom w:val="single" w:color="000000" w:sz="4" w:space="0"/>
              <w:right w:val="single" w:color="000000" w:sz="4" w:space="0"/>
            </w:tcBorders>
            <w:shd w:val="clear" w:color="000000" w:fill="FFFFFF"/>
            <w:noWrap/>
            <w:vAlign w:val="center"/>
          </w:tcPr>
          <w:p>
            <w:pPr>
              <w:jc w:val="right"/>
              <w:rPr>
                <w:rFonts w:cs="Times New Roman"/>
                <w:sz w:val="20"/>
                <w:szCs w:val="20"/>
              </w:rPr>
            </w:pPr>
            <w:r>
              <w:rPr>
                <w:rFonts w:hint="eastAsia" w:cs="宋体"/>
                <w:sz w:val="20"/>
                <w:szCs w:val="20"/>
              </w:rPr>
              <w:t>　</w:t>
            </w:r>
          </w:p>
        </w:tc>
      </w:tr>
      <w:tr>
        <w:tblPrEx>
          <w:tblCellMar>
            <w:top w:w="0" w:type="dxa"/>
            <w:left w:w="108" w:type="dxa"/>
            <w:bottom w:w="0" w:type="dxa"/>
            <w:right w:w="108" w:type="dxa"/>
          </w:tblCellMar>
        </w:tblPrEx>
        <w:trPr>
          <w:trHeight w:val="300" w:hRule="atLeast"/>
        </w:trPr>
        <w:tc>
          <w:tcPr>
            <w:tcW w:w="8457" w:type="dxa"/>
            <w:gridSpan w:val="12"/>
            <w:tcBorders>
              <w:top w:val="nil"/>
              <w:left w:val="nil"/>
              <w:bottom w:val="nil"/>
              <w:right w:val="nil"/>
            </w:tcBorders>
            <w:shd w:val="clear" w:color="000000" w:fill="FFFFFF"/>
            <w:noWrap/>
            <w:vAlign w:val="center"/>
          </w:tcPr>
          <w:p>
            <w:pPr>
              <w:pStyle w:val="8"/>
              <w:spacing w:before="0" w:beforeAutospacing="0"/>
              <w:ind w:firstLine="500" w:firstLineChars="250"/>
              <w:outlineLvl w:val="1"/>
              <w:rPr>
                <w:rFonts w:cs="Times New Roman"/>
                <w:sz w:val="20"/>
                <w:szCs w:val="20"/>
                <w:shd w:val="clear" w:color="auto" w:fill="FFFFFF"/>
              </w:rPr>
            </w:pPr>
            <w:r>
              <w:rPr>
                <w:rFonts w:hint="eastAsia"/>
                <w:sz w:val="20"/>
                <w:szCs w:val="20"/>
              </w:rPr>
              <w:t>注：本表反映部门本年度国有资本经营预算财政拨款支出情况。</w:t>
            </w:r>
            <w:r>
              <w:rPr>
                <w:sz w:val="20"/>
                <w:szCs w:val="20"/>
                <w:shd w:val="clear" w:color="auto" w:fill="FFFFFF"/>
              </w:rPr>
              <w:t>2020</w:t>
            </w:r>
            <w:r>
              <w:rPr>
                <w:rFonts w:hint="eastAsia"/>
                <w:sz w:val="20"/>
                <w:szCs w:val="20"/>
                <w:shd w:val="clear" w:color="auto" w:fill="FFFFFF"/>
              </w:rPr>
              <w:t>年度本部门无国有资本经营预算收支，因此本表无数据。</w:t>
            </w:r>
          </w:p>
          <w:p>
            <w:pPr>
              <w:rPr>
                <w:rFonts w:cs="Times New Roman"/>
                <w:sz w:val="20"/>
                <w:szCs w:val="20"/>
              </w:rPr>
            </w:pPr>
          </w:p>
        </w:tc>
      </w:tr>
    </w:tbl>
    <w:p>
      <w:pPr>
        <w:rPr>
          <w:rStyle w:val="11"/>
          <w:rFonts w:ascii="楷体" w:hAnsi="楷体" w:eastAsia="楷体" w:cs="Times New Roman"/>
          <w:sz w:val="32"/>
          <w:szCs w:val="32"/>
          <w:shd w:val="clear" w:color="auto" w:fill="FFFFFF"/>
        </w:rPr>
      </w:pPr>
      <w:r>
        <w:rPr>
          <w:rStyle w:val="11"/>
          <w:rFonts w:ascii="楷体" w:hAnsi="楷体" w:eastAsia="楷体" w:cs="Times New Roman"/>
          <w:sz w:val="32"/>
          <w:szCs w:val="32"/>
          <w:shd w:val="clear" w:color="auto" w:fill="FFFFFF"/>
        </w:rPr>
        <w:br w:type="page"/>
      </w: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jc w:val="center"/>
        <w:rPr>
          <w:rFonts w:cs="Times New Roman"/>
          <w:sz w:val="72"/>
          <w:szCs w:val="72"/>
        </w:rPr>
      </w:pPr>
    </w:p>
    <w:p>
      <w:pPr>
        <w:pStyle w:val="15"/>
        <w:jc w:val="center"/>
        <w:rPr>
          <w:rFonts w:cs="Times New Roman"/>
          <w:sz w:val="72"/>
          <w:szCs w:val="72"/>
        </w:rPr>
      </w:pPr>
    </w:p>
    <w:p>
      <w:pPr>
        <w:pStyle w:val="15"/>
        <w:jc w:val="center"/>
        <w:rPr>
          <w:rFonts w:cs="Times New Roman"/>
          <w:sz w:val="72"/>
          <w:szCs w:val="72"/>
        </w:rPr>
      </w:pPr>
      <w:r>
        <w:rPr>
          <w:rFonts w:hint="eastAsia"/>
          <w:sz w:val="72"/>
          <w:szCs w:val="72"/>
        </w:rPr>
        <w:t>第三部分</w:t>
      </w:r>
    </w:p>
    <w:p>
      <w:pPr>
        <w:pStyle w:val="15"/>
        <w:jc w:val="center"/>
        <w:rPr>
          <w:rFonts w:cs="Times New Roman"/>
          <w:sz w:val="70"/>
          <w:szCs w:val="70"/>
        </w:rPr>
      </w:pPr>
    </w:p>
    <w:p>
      <w:pPr>
        <w:pStyle w:val="15"/>
        <w:jc w:val="center"/>
        <w:rPr>
          <w:rFonts w:cs="Times New Roman"/>
          <w:sz w:val="70"/>
          <w:szCs w:val="70"/>
        </w:rPr>
      </w:pPr>
      <w:r>
        <w:rPr>
          <w:sz w:val="70"/>
          <w:szCs w:val="70"/>
        </w:rPr>
        <w:t>2020</w:t>
      </w:r>
      <w:r>
        <w:rPr>
          <w:rFonts w:hint="eastAsia"/>
          <w:sz w:val="70"/>
          <w:szCs w:val="70"/>
        </w:rPr>
        <w:t>年度部门决算情况说明</w:t>
      </w:r>
    </w:p>
    <w:p>
      <w:pPr>
        <w:widowControl/>
        <w:jc w:val="left"/>
        <w:rPr>
          <w:rFonts w:ascii="黑体" w:eastAsia="黑体" w:cs="Times New Roman"/>
          <w:color w:val="000000"/>
          <w:kern w:val="0"/>
          <w:sz w:val="70"/>
          <w:szCs w:val="70"/>
        </w:rPr>
      </w:pPr>
      <w:r>
        <w:rPr>
          <w:rFonts w:cs="Times New Roman"/>
          <w:sz w:val="70"/>
          <w:szCs w:val="70"/>
        </w:rPr>
        <w:br w:type="page"/>
      </w:r>
    </w:p>
    <w:p>
      <w:pPr>
        <w:pStyle w:val="15"/>
        <w:rPr>
          <w:rFonts w:ascii="宋体" w:hAnsi="宋体" w:eastAsia="宋体" w:cs="Times New Roman"/>
          <w:sz w:val="32"/>
          <w:szCs w:val="32"/>
        </w:rPr>
      </w:pPr>
    </w:p>
    <w:p>
      <w:pPr>
        <w:pStyle w:val="15"/>
        <w:rPr>
          <w:rFonts w:hAnsi="黑体" w:cs="Times New Roman"/>
          <w:b/>
          <w:bCs/>
          <w:sz w:val="32"/>
          <w:szCs w:val="32"/>
        </w:rPr>
      </w:pPr>
      <w:r>
        <w:rPr>
          <w:rFonts w:hint="eastAsia" w:hAnsi="黑体"/>
          <w:b/>
          <w:bCs/>
          <w:sz w:val="32"/>
          <w:szCs w:val="32"/>
        </w:rPr>
        <w:t>一、收入支出决算总体情况说明</w:t>
      </w:r>
    </w:p>
    <w:p>
      <w:pPr>
        <w:pStyle w:val="15"/>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年度收、支总计</w:t>
      </w:r>
      <w:r>
        <w:rPr>
          <w:rFonts w:ascii="宋体" w:hAnsi="宋体" w:eastAsia="宋体" w:cs="宋体"/>
          <w:sz w:val="32"/>
          <w:szCs w:val="32"/>
        </w:rPr>
        <w:t>2138.5</w:t>
      </w:r>
      <w:r>
        <w:rPr>
          <w:rFonts w:hint="eastAsia" w:ascii="宋体" w:hAnsi="宋体" w:eastAsia="宋体" w:cs="宋体"/>
          <w:sz w:val="32"/>
          <w:szCs w:val="32"/>
        </w:rPr>
        <w:t>万元。与上年相比，增加</w:t>
      </w:r>
      <w:r>
        <w:rPr>
          <w:rFonts w:ascii="宋体" w:hAnsi="宋体" w:eastAsia="宋体" w:cs="宋体"/>
          <w:sz w:val="32"/>
          <w:szCs w:val="32"/>
        </w:rPr>
        <w:t>74.6</w:t>
      </w:r>
      <w:r>
        <w:rPr>
          <w:rFonts w:hint="eastAsia" w:ascii="宋体" w:hAnsi="宋体" w:eastAsia="宋体" w:cs="宋体"/>
          <w:sz w:val="32"/>
          <w:szCs w:val="32"/>
        </w:rPr>
        <w:t>万元，增长</w:t>
      </w:r>
      <w:r>
        <w:rPr>
          <w:rFonts w:ascii="宋体" w:hAnsi="宋体" w:eastAsia="宋体" w:cs="宋体"/>
          <w:sz w:val="32"/>
          <w:szCs w:val="32"/>
        </w:rPr>
        <w:t>3.6%</w:t>
      </w:r>
      <w:r>
        <w:rPr>
          <w:rFonts w:hint="eastAsia" w:ascii="宋体" w:hAnsi="宋体" w:eastAsia="宋体" w:cs="宋体"/>
          <w:sz w:val="32"/>
          <w:szCs w:val="32"/>
        </w:rPr>
        <w:t>，主要是因为地方</w:t>
      </w:r>
      <w:r>
        <w:rPr>
          <w:rFonts w:hint="eastAsia" w:ascii="宋体" w:hAnsi="宋体" w:eastAsia="宋体" w:cs="宋体"/>
          <w:sz w:val="32"/>
          <w:szCs w:val="32"/>
          <w:lang w:eastAsia="zh-CN"/>
        </w:rPr>
        <w:t>财政</w:t>
      </w:r>
      <w:r>
        <w:rPr>
          <w:rFonts w:hint="eastAsia" w:ascii="宋体" w:hAnsi="宋体" w:eastAsia="宋体" w:cs="宋体"/>
          <w:sz w:val="32"/>
          <w:szCs w:val="32"/>
        </w:rPr>
        <w:t>返还</w:t>
      </w:r>
      <w:r>
        <w:rPr>
          <w:rFonts w:hint="eastAsia" w:ascii="宋体" w:hAnsi="宋体" w:eastAsia="宋体" w:cs="宋体"/>
          <w:sz w:val="32"/>
          <w:szCs w:val="32"/>
          <w:lang w:eastAsia="zh-CN"/>
        </w:rPr>
        <w:t>有所</w:t>
      </w:r>
      <w:r>
        <w:rPr>
          <w:rFonts w:hint="eastAsia" w:ascii="宋体" w:hAnsi="宋体" w:eastAsia="宋体" w:cs="宋体"/>
          <w:sz w:val="32"/>
          <w:szCs w:val="32"/>
        </w:rPr>
        <w:t>增加</w:t>
      </w:r>
      <w:r>
        <w:rPr>
          <w:rFonts w:hint="eastAsia" w:ascii="宋体" w:hAnsi="宋体" w:eastAsia="宋体" w:cs="宋体"/>
          <w:sz w:val="32"/>
          <w:szCs w:val="32"/>
          <w:lang w:eastAsia="zh-CN"/>
        </w:rPr>
        <w:t>，使</w:t>
      </w:r>
      <w:r>
        <w:rPr>
          <w:rFonts w:hint="eastAsia" w:ascii="宋体" w:hAnsi="宋体" w:eastAsia="宋体" w:cs="宋体"/>
          <w:sz w:val="32"/>
          <w:szCs w:val="32"/>
        </w:rPr>
        <w:t>其他收入增加</w:t>
      </w:r>
      <w:r>
        <w:rPr>
          <w:rFonts w:ascii="宋体" w:hAnsi="宋体" w:eastAsia="宋体" w:cs="宋体"/>
          <w:sz w:val="32"/>
          <w:szCs w:val="32"/>
        </w:rPr>
        <w:t>,</w:t>
      </w:r>
      <w:r>
        <w:rPr>
          <w:rFonts w:hint="eastAsia" w:ascii="宋体" w:hAnsi="宋体" w:eastAsia="宋体" w:cs="宋体"/>
          <w:sz w:val="32"/>
          <w:szCs w:val="32"/>
        </w:rPr>
        <w:t>年初结转和结余增加</w:t>
      </w:r>
      <w:r>
        <w:rPr>
          <w:rFonts w:ascii="宋体" w:hAnsi="宋体" w:eastAsia="宋体" w:cs="宋体"/>
          <w:sz w:val="32"/>
          <w:szCs w:val="32"/>
        </w:rPr>
        <w:t>.</w:t>
      </w:r>
    </w:p>
    <w:p>
      <w:pPr>
        <w:pStyle w:val="15"/>
        <w:rPr>
          <w:rFonts w:hAnsi="黑体" w:cs="Times New Roman"/>
          <w:b/>
          <w:bCs/>
          <w:sz w:val="32"/>
          <w:szCs w:val="32"/>
        </w:rPr>
      </w:pPr>
      <w:r>
        <w:rPr>
          <w:rFonts w:hint="eastAsia" w:hAnsi="黑体"/>
          <w:b/>
          <w:bCs/>
          <w:sz w:val="32"/>
          <w:szCs w:val="32"/>
        </w:rPr>
        <w:t>二、收入决算情况说明</w:t>
      </w:r>
    </w:p>
    <w:p>
      <w:pPr>
        <w:pStyle w:val="15"/>
        <w:ind w:firstLine="640" w:firstLineChars="200"/>
        <w:rPr>
          <w:rFonts w:ascii="宋体" w:hAnsi="宋体" w:eastAsia="宋体" w:cs="Times New Roman"/>
          <w:sz w:val="32"/>
          <w:szCs w:val="32"/>
        </w:rPr>
      </w:pPr>
      <w:r>
        <w:rPr>
          <w:rFonts w:hint="eastAsia" w:ascii="宋体" w:hAnsi="宋体" w:eastAsia="宋体" w:cs="宋体"/>
          <w:sz w:val="32"/>
          <w:szCs w:val="32"/>
        </w:rPr>
        <w:t>本年收入合计</w:t>
      </w:r>
      <w:r>
        <w:rPr>
          <w:rFonts w:ascii="宋体" w:hAnsi="宋体" w:eastAsia="宋体" w:cs="宋体"/>
          <w:sz w:val="32"/>
          <w:szCs w:val="32"/>
        </w:rPr>
        <w:t>1683.76</w:t>
      </w:r>
      <w:r>
        <w:rPr>
          <w:rFonts w:hint="eastAsia" w:ascii="宋体" w:hAnsi="宋体" w:eastAsia="宋体" w:cs="宋体"/>
          <w:sz w:val="32"/>
          <w:szCs w:val="32"/>
        </w:rPr>
        <w:t>万元，其中：财政拨款收入</w:t>
      </w:r>
      <w:r>
        <w:rPr>
          <w:rFonts w:ascii="宋体" w:hAnsi="宋体" w:eastAsia="宋体" w:cs="宋体"/>
          <w:sz w:val="32"/>
          <w:szCs w:val="32"/>
        </w:rPr>
        <w:t>1423.53</w:t>
      </w:r>
      <w:r>
        <w:rPr>
          <w:rFonts w:hint="eastAsia" w:ascii="宋体" w:hAnsi="宋体" w:eastAsia="宋体" w:cs="宋体"/>
          <w:sz w:val="32"/>
          <w:szCs w:val="32"/>
        </w:rPr>
        <w:t>万元，占</w:t>
      </w:r>
      <w:r>
        <w:rPr>
          <w:rFonts w:ascii="宋体" w:hAnsi="宋体" w:eastAsia="宋体" w:cs="宋体"/>
          <w:sz w:val="32"/>
          <w:szCs w:val="32"/>
        </w:rPr>
        <w:t>84.54%</w:t>
      </w:r>
      <w:r>
        <w:rPr>
          <w:rFonts w:hint="eastAsia" w:ascii="宋体" w:hAnsi="宋体" w:eastAsia="宋体" w:cs="宋体"/>
          <w:sz w:val="32"/>
          <w:szCs w:val="32"/>
        </w:rPr>
        <w:t>；上级补助收入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；事业收入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；附属单位上缴收入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；其他收入</w:t>
      </w:r>
      <w:r>
        <w:rPr>
          <w:rFonts w:ascii="宋体" w:hAnsi="宋体" w:eastAsia="宋体" w:cs="宋体"/>
          <w:sz w:val="32"/>
          <w:szCs w:val="32"/>
        </w:rPr>
        <w:t>260.23</w:t>
      </w:r>
      <w:r>
        <w:rPr>
          <w:rFonts w:hint="eastAsia" w:ascii="宋体" w:hAnsi="宋体" w:eastAsia="宋体" w:cs="宋体"/>
          <w:sz w:val="32"/>
          <w:szCs w:val="32"/>
        </w:rPr>
        <w:t>万元，占</w:t>
      </w:r>
      <w:r>
        <w:rPr>
          <w:rFonts w:ascii="宋体" w:hAnsi="宋体" w:eastAsia="宋体" w:cs="宋体"/>
          <w:sz w:val="32"/>
          <w:szCs w:val="32"/>
        </w:rPr>
        <w:t>15.46%</w:t>
      </w:r>
      <w:r>
        <w:rPr>
          <w:rFonts w:hint="eastAsia" w:ascii="宋体" w:hAnsi="宋体" w:eastAsia="宋体" w:cs="宋体"/>
          <w:sz w:val="32"/>
          <w:szCs w:val="32"/>
        </w:rPr>
        <w:t>。</w:t>
      </w:r>
    </w:p>
    <w:p>
      <w:pPr>
        <w:pStyle w:val="15"/>
        <w:rPr>
          <w:rFonts w:hAnsi="黑体" w:cs="Times New Roman"/>
          <w:b/>
          <w:bCs/>
          <w:sz w:val="32"/>
          <w:szCs w:val="32"/>
        </w:rPr>
      </w:pPr>
      <w:r>
        <w:rPr>
          <w:rFonts w:hint="eastAsia" w:hAnsi="黑体"/>
          <w:b/>
          <w:bCs/>
          <w:sz w:val="32"/>
          <w:szCs w:val="32"/>
        </w:rPr>
        <w:t>三、支出决算情况说明</w:t>
      </w:r>
    </w:p>
    <w:p>
      <w:pPr>
        <w:pStyle w:val="15"/>
        <w:ind w:firstLine="640" w:firstLineChars="200"/>
        <w:rPr>
          <w:rFonts w:ascii="宋体" w:hAnsi="宋体" w:eastAsia="宋体" w:cs="Times New Roman"/>
          <w:sz w:val="32"/>
          <w:szCs w:val="32"/>
        </w:rPr>
      </w:pPr>
      <w:r>
        <w:rPr>
          <w:rFonts w:hint="eastAsia" w:ascii="宋体" w:hAnsi="宋体" w:eastAsia="宋体" w:cs="宋体"/>
          <w:sz w:val="32"/>
          <w:szCs w:val="32"/>
        </w:rPr>
        <w:t>本年支出合计</w:t>
      </w:r>
      <w:r>
        <w:rPr>
          <w:rFonts w:ascii="宋体" w:hAnsi="宋体" w:eastAsia="宋体" w:cs="宋体"/>
          <w:sz w:val="32"/>
          <w:szCs w:val="32"/>
        </w:rPr>
        <w:t>1834.11</w:t>
      </w:r>
      <w:r>
        <w:rPr>
          <w:rFonts w:hint="eastAsia" w:ascii="宋体" w:hAnsi="宋体" w:eastAsia="宋体" w:cs="宋体"/>
          <w:sz w:val="32"/>
          <w:szCs w:val="32"/>
        </w:rPr>
        <w:t>万元，其中：基本支出</w:t>
      </w:r>
      <w:r>
        <w:rPr>
          <w:rFonts w:ascii="宋体" w:hAnsi="宋体" w:eastAsia="宋体" w:cs="宋体"/>
          <w:sz w:val="32"/>
          <w:szCs w:val="32"/>
        </w:rPr>
        <w:t>1702.94</w:t>
      </w:r>
      <w:r>
        <w:rPr>
          <w:rFonts w:hint="eastAsia" w:ascii="宋体" w:hAnsi="宋体" w:eastAsia="宋体" w:cs="宋体"/>
          <w:sz w:val="32"/>
          <w:szCs w:val="32"/>
        </w:rPr>
        <w:t>万元，占</w:t>
      </w:r>
      <w:r>
        <w:rPr>
          <w:rFonts w:ascii="宋体" w:hAnsi="宋体" w:eastAsia="宋体" w:cs="宋体"/>
          <w:sz w:val="32"/>
          <w:szCs w:val="32"/>
        </w:rPr>
        <w:t>92.85%</w:t>
      </w:r>
      <w:r>
        <w:rPr>
          <w:rFonts w:hint="eastAsia" w:ascii="宋体" w:hAnsi="宋体" w:eastAsia="宋体" w:cs="宋体"/>
          <w:sz w:val="32"/>
          <w:szCs w:val="32"/>
        </w:rPr>
        <w:t>；项目支出</w:t>
      </w:r>
      <w:r>
        <w:rPr>
          <w:rFonts w:ascii="宋体" w:hAnsi="宋体" w:eastAsia="宋体" w:cs="宋体"/>
          <w:sz w:val="32"/>
          <w:szCs w:val="32"/>
        </w:rPr>
        <w:t>131.17</w:t>
      </w:r>
      <w:r>
        <w:rPr>
          <w:rFonts w:hint="eastAsia" w:ascii="宋体" w:hAnsi="宋体" w:eastAsia="宋体" w:cs="宋体"/>
          <w:sz w:val="32"/>
          <w:szCs w:val="32"/>
        </w:rPr>
        <w:t>万元，占</w:t>
      </w:r>
      <w:r>
        <w:rPr>
          <w:rFonts w:ascii="宋体" w:hAnsi="宋体" w:eastAsia="宋体" w:cs="宋体"/>
          <w:sz w:val="32"/>
          <w:szCs w:val="32"/>
        </w:rPr>
        <w:t>7.15%</w:t>
      </w:r>
      <w:r>
        <w:rPr>
          <w:rFonts w:hint="eastAsia" w:ascii="宋体" w:hAnsi="宋体" w:eastAsia="宋体" w:cs="宋体"/>
          <w:sz w:val="32"/>
          <w:szCs w:val="32"/>
        </w:rPr>
        <w:t>；上缴上级支出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；对附属单位补助支出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5"/>
        <w:rPr>
          <w:rFonts w:hAnsi="黑体" w:cs="Times New Roman"/>
          <w:b/>
          <w:bCs/>
          <w:sz w:val="32"/>
          <w:szCs w:val="32"/>
        </w:rPr>
      </w:pPr>
      <w:r>
        <w:rPr>
          <w:rFonts w:hint="eastAsia" w:hAnsi="黑体"/>
          <w:b/>
          <w:bCs/>
          <w:sz w:val="32"/>
          <w:szCs w:val="32"/>
        </w:rPr>
        <w:t>四、财政拨款收入支出决算总体情况说明</w:t>
      </w:r>
    </w:p>
    <w:p>
      <w:pPr>
        <w:pStyle w:val="15"/>
        <w:rPr>
          <w:rFonts w:ascii="宋体" w:hAnsi="宋体" w:eastAsia="宋体" w:cs="Times New Roman"/>
          <w:sz w:val="32"/>
          <w:szCs w:val="32"/>
        </w:rPr>
      </w:pPr>
      <w:r>
        <w:rPr>
          <w:rFonts w:ascii="宋体" w:hAnsi="宋体" w:eastAsia="宋体" w:cs="宋体"/>
          <w:sz w:val="32"/>
          <w:szCs w:val="32"/>
        </w:rPr>
        <w:t xml:space="preserve">    2020</w:t>
      </w:r>
      <w:r>
        <w:rPr>
          <w:rFonts w:hint="eastAsia" w:ascii="宋体" w:hAnsi="宋体" w:eastAsia="宋体" w:cs="宋体"/>
          <w:sz w:val="32"/>
          <w:szCs w:val="32"/>
        </w:rPr>
        <w:t>年度财政拨款收、支总计</w:t>
      </w:r>
      <w:r>
        <w:rPr>
          <w:rFonts w:ascii="宋体" w:hAnsi="宋体" w:eastAsia="宋体" w:cs="宋体"/>
          <w:sz w:val="32"/>
          <w:szCs w:val="32"/>
        </w:rPr>
        <w:t>1473.66</w:t>
      </w:r>
      <w:r>
        <w:rPr>
          <w:rFonts w:hint="eastAsia" w:ascii="宋体" w:hAnsi="宋体" w:eastAsia="宋体" w:cs="宋体"/>
          <w:sz w:val="32"/>
          <w:szCs w:val="32"/>
        </w:rPr>
        <w:t>万元，与上年相比，增加</w:t>
      </w:r>
      <w:r>
        <w:rPr>
          <w:rFonts w:ascii="宋体" w:hAnsi="宋体" w:eastAsia="宋体" w:cs="宋体"/>
          <w:sz w:val="32"/>
          <w:szCs w:val="32"/>
        </w:rPr>
        <w:t>26.55</w:t>
      </w:r>
      <w:r>
        <w:rPr>
          <w:rFonts w:hint="eastAsia" w:ascii="宋体" w:hAnsi="宋体" w:eastAsia="宋体" w:cs="宋体"/>
          <w:sz w:val="32"/>
          <w:szCs w:val="32"/>
        </w:rPr>
        <w:t>万元</w:t>
      </w:r>
      <w:r>
        <w:rPr>
          <w:rFonts w:ascii="宋体" w:hAnsi="宋体" w:eastAsia="宋体" w:cs="宋体"/>
          <w:sz w:val="32"/>
          <w:szCs w:val="32"/>
        </w:rPr>
        <w:t>,</w:t>
      </w:r>
      <w:r>
        <w:rPr>
          <w:rFonts w:hint="eastAsia" w:ascii="宋体" w:hAnsi="宋体" w:eastAsia="宋体" w:cs="宋体"/>
          <w:sz w:val="32"/>
          <w:szCs w:val="32"/>
        </w:rPr>
        <w:t>增长</w:t>
      </w:r>
      <w:r>
        <w:rPr>
          <w:rFonts w:ascii="宋体" w:hAnsi="宋体" w:eastAsia="宋体" w:cs="宋体"/>
          <w:sz w:val="32"/>
          <w:szCs w:val="32"/>
        </w:rPr>
        <w:t>1.8%</w:t>
      </w:r>
      <w:r>
        <w:rPr>
          <w:rFonts w:hint="eastAsia" w:ascii="宋体" w:hAnsi="宋体" w:eastAsia="宋体" w:cs="宋体"/>
          <w:sz w:val="32"/>
          <w:szCs w:val="32"/>
        </w:rPr>
        <w:t>，主要是因为年初财政拨款结转和结余增加</w:t>
      </w:r>
      <w:r>
        <w:rPr>
          <w:rFonts w:ascii="宋体" w:hAnsi="宋体" w:eastAsia="宋体" w:cs="宋体"/>
          <w:sz w:val="32"/>
          <w:szCs w:val="32"/>
        </w:rPr>
        <w:t>.</w:t>
      </w:r>
    </w:p>
    <w:p>
      <w:pPr>
        <w:pStyle w:val="15"/>
        <w:rPr>
          <w:rFonts w:hAnsi="黑体" w:cs="Times New Roman"/>
          <w:b/>
          <w:bCs/>
          <w:sz w:val="32"/>
          <w:szCs w:val="32"/>
        </w:rPr>
      </w:pPr>
      <w:r>
        <w:rPr>
          <w:rFonts w:hint="eastAsia" w:hAnsi="黑体"/>
          <w:b/>
          <w:bCs/>
          <w:sz w:val="32"/>
          <w:szCs w:val="32"/>
        </w:rPr>
        <w:t>五、一般公共预算财政拨款支出决算情况说明</w:t>
      </w:r>
    </w:p>
    <w:p>
      <w:pPr>
        <w:pStyle w:val="15"/>
        <w:ind w:firstLine="640"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5"/>
        <w:ind w:firstLine="800" w:firstLineChars="25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年度财政拨款支出</w:t>
      </w:r>
      <w:r>
        <w:rPr>
          <w:rFonts w:ascii="宋体" w:hAnsi="宋体" w:eastAsia="宋体" w:cs="宋体"/>
          <w:sz w:val="32"/>
          <w:szCs w:val="32"/>
        </w:rPr>
        <w:t>1468.33</w:t>
      </w:r>
      <w:r>
        <w:rPr>
          <w:rFonts w:hint="eastAsia" w:ascii="宋体" w:hAnsi="宋体" w:eastAsia="宋体" w:cs="宋体"/>
          <w:sz w:val="32"/>
          <w:szCs w:val="32"/>
        </w:rPr>
        <w:t>万元，占本年支出合计的</w:t>
      </w:r>
      <w:r>
        <w:rPr>
          <w:rFonts w:ascii="宋体" w:hAnsi="宋体" w:eastAsia="宋体" w:cs="宋体"/>
          <w:sz w:val="32"/>
          <w:szCs w:val="32"/>
        </w:rPr>
        <w:t>80.1%</w:t>
      </w:r>
      <w:r>
        <w:rPr>
          <w:rFonts w:hint="eastAsia" w:ascii="宋体" w:hAnsi="宋体" w:eastAsia="宋体" w:cs="宋体"/>
          <w:sz w:val="32"/>
          <w:szCs w:val="32"/>
        </w:rPr>
        <w:t>，与上年相比，财政拨款支出增加</w:t>
      </w:r>
      <w:r>
        <w:rPr>
          <w:rFonts w:ascii="宋体" w:hAnsi="宋体" w:eastAsia="宋体" w:cs="宋体"/>
          <w:sz w:val="32"/>
          <w:szCs w:val="32"/>
        </w:rPr>
        <w:t>71.35</w:t>
      </w:r>
      <w:r>
        <w:rPr>
          <w:rFonts w:hint="eastAsia" w:ascii="宋体" w:hAnsi="宋体" w:eastAsia="宋体" w:cs="宋体"/>
          <w:sz w:val="32"/>
          <w:szCs w:val="32"/>
        </w:rPr>
        <w:t>万元，增长</w:t>
      </w:r>
      <w:r>
        <w:rPr>
          <w:rFonts w:ascii="宋体" w:hAnsi="宋体" w:eastAsia="宋体" w:cs="宋体"/>
          <w:sz w:val="32"/>
          <w:szCs w:val="32"/>
        </w:rPr>
        <w:t>5.1%</w:t>
      </w:r>
      <w:r>
        <w:rPr>
          <w:rFonts w:hint="eastAsia" w:ascii="宋体" w:hAnsi="宋体" w:eastAsia="宋体" w:cs="宋体"/>
          <w:sz w:val="32"/>
          <w:szCs w:val="32"/>
        </w:rPr>
        <w:t>，主要是因为人员增加、工资晋级导致人员经费提高等。</w:t>
      </w:r>
    </w:p>
    <w:p>
      <w:pPr>
        <w:pStyle w:val="15"/>
        <w:ind w:firstLine="480"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5"/>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年度财政拨款支出</w:t>
      </w:r>
      <w:r>
        <w:rPr>
          <w:rFonts w:ascii="宋体" w:hAnsi="宋体" w:eastAsia="宋体" w:cs="宋体"/>
          <w:sz w:val="32"/>
          <w:szCs w:val="32"/>
        </w:rPr>
        <w:t>1468.33</w:t>
      </w:r>
      <w:r>
        <w:rPr>
          <w:rFonts w:hint="eastAsia" w:ascii="宋体" w:hAnsi="宋体" w:eastAsia="宋体" w:cs="宋体"/>
          <w:sz w:val="32"/>
          <w:szCs w:val="32"/>
        </w:rPr>
        <w:t>万元，主要用于以下方面：一般公共服务（类）支出</w:t>
      </w:r>
      <w:r>
        <w:rPr>
          <w:rFonts w:ascii="宋体" w:hAnsi="宋体" w:eastAsia="宋体" w:cs="宋体"/>
          <w:sz w:val="32"/>
          <w:szCs w:val="32"/>
        </w:rPr>
        <w:t>1282.83</w:t>
      </w:r>
      <w:r>
        <w:rPr>
          <w:rFonts w:hint="eastAsia" w:ascii="宋体" w:hAnsi="宋体" w:eastAsia="宋体" w:cs="宋体"/>
          <w:sz w:val="32"/>
          <w:szCs w:val="32"/>
        </w:rPr>
        <w:t>万元，占</w:t>
      </w:r>
      <w:r>
        <w:rPr>
          <w:rFonts w:ascii="宋体" w:hAnsi="宋体" w:eastAsia="宋体" w:cs="宋体"/>
          <w:sz w:val="32"/>
          <w:szCs w:val="32"/>
        </w:rPr>
        <w:t>87.33%</w:t>
      </w:r>
      <w:r>
        <w:rPr>
          <w:rFonts w:hint="eastAsia" w:ascii="宋体" w:hAnsi="宋体" w:eastAsia="宋体" w:cs="宋体"/>
          <w:sz w:val="32"/>
          <w:szCs w:val="32"/>
        </w:rPr>
        <w:t>；教育（类）支出</w:t>
      </w:r>
      <w:r>
        <w:rPr>
          <w:rFonts w:eastAsia="宋体"/>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社会保障和就业支出</w:t>
      </w:r>
      <w:r>
        <w:rPr>
          <w:rFonts w:ascii="宋体" w:hAnsi="宋体" w:eastAsia="宋体" w:cs="宋体"/>
          <w:sz w:val="32"/>
          <w:szCs w:val="32"/>
        </w:rPr>
        <w:t>78.5</w:t>
      </w:r>
      <w:r>
        <w:rPr>
          <w:rFonts w:hint="eastAsia" w:ascii="宋体" w:hAnsi="宋体" w:eastAsia="宋体" w:cs="宋体"/>
          <w:sz w:val="32"/>
          <w:szCs w:val="32"/>
        </w:rPr>
        <w:t>万元</w:t>
      </w:r>
      <w:r>
        <w:rPr>
          <w:rFonts w:ascii="宋体" w:hAnsi="宋体" w:eastAsia="宋体" w:cs="宋体"/>
          <w:sz w:val="32"/>
          <w:szCs w:val="32"/>
        </w:rPr>
        <w:t>,</w:t>
      </w:r>
      <w:r>
        <w:rPr>
          <w:rFonts w:hint="eastAsia" w:ascii="宋体" w:hAnsi="宋体" w:eastAsia="宋体" w:cs="宋体"/>
          <w:sz w:val="32"/>
          <w:szCs w:val="32"/>
        </w:rPr>
        <w:t>占</w:t>
      </w:r>
      <w:r>
        <w:rPr>
          <w:rFonts w:ascii="宋体" w:hAnsi="宋体" w:eastAsia="宋体" w:cs="宋体"/>
          <w:sz w:val="32"/>
          <w:szCs w:val="32"/>
        </w:rPr>
        <w:t>5.34%,</w:t>
      </w:r>
      <w:r>
        <w:rPr>
          <w:rFonts w:hint="eastAsia" w:ascii="宋体" w:hAnsi="宋体" w:eastAsia="宋体" w:cs="宋体"/>
          <w:sz w:val="32"/>
          <w:szCs w:val="32"/>
        </w:rPr>
        <w:t>卫生健康支出</w:t>
      </w:r>
      <w:r>
        <w:rPr>
          <w:rFonts w:ascii="宋体" w:hAnsi="宋体" w:eastAsia="宋体" w:cs="宋体"/>
          <w:sz w:val="32"/>
          <w:szCs w:val="32"/>
        </w:rPr>
        <w:t>38</w:t>
      </w:r>
      <w:r>
        <w:rPr>
          <w:rFonts w:hint="eastAsia" w:ascii="宋体" w:hAnsi="宋体" w:eastAsia="宋体" w:cs="宋体"/>
          <w:sz w:val="32"/>
          <w:szCs w:val="32"/>
        </w:rPr>
        <w:t>万元</w:t>
      </w:r>
      <w:r>
        <w:rPr>
          <w:rFonts w:ascii="宋体" w:hAnsi="宋体" w:eastAsia="宋体" w:cs="宋体"/>
          <w:sz w:val="32"/>
          <w:szCs w:val="32"/>
        </w:rPr>
        <w:t>,</w:t>
      </w:r>
      <w:r>
        <w:rPr>
          <w:rFonts w:hint="eastAsia" w:ascii="宋体" w:hAnsi="宋体" w:eastAsia="宋体" w:cs="宋体"/>
          <w:sz w:val="32"/>
          <w:szCs w:val="32"/>
        </w:rPr>
        <w:t>占</w:t>
      </w:r>
      <w:r>
        <w:rPr>
          <w:rFonts w:ascii="宋体" w:hAnsi="宋体" w:eastAsia="宋体" w:cs="宋体"/>
          <w:sz w:val="32"/>
          <w:szCs w:val="32"/>
        </w:rPr>
        <w:t>2.58%,</w:t>
      </w:r>
      <w:r>
        <w:rPr>
          <w:rFonts w:hint="eastAsia" w:ascii="宋体" w:hAnsi="宋体" w:eastAsia="宋体" w:cs="宋体"/>
          <w:sz w:val="32"/>
          <w:szCs w:val="32"/>
        </w:rPr>
        <w:t>住房保障支出</w:t>
      </w:r>
      <w:r>
        <w:rPr>
          <w:rFonts w:ascii="宋体" w:hAnsi="宋体" w:eastAsia="宋体" w:cs="宋体"/>
          <w:sz w:val="32"/>
          <w:szCs w:val="32"/>
        </w:rPr>
        <w:t>69</w:t>
      </w:r>
      <w:r>
        <w:rPr>
          <w:rFonts w:hint="eastAsia" w:ascii="宋体" w:hAnsi="宋体" w:eastAsia="宋体" w:cs="宋体"/>
          <w:sz w:val="32"/>
          <w:szCs w:val="32"/>
        </w:rPr>
        <w:t>万元</w:t>
      </w:r>
      <w:r>
        <w:rPr>
          <w:rFonts w:ascii="宋体" w:hAnsi="宋体" w:eastAsia="宋体" w:cs="宋体"/>
          <w:sz w:val="32"/>
          <w:szCs w:val="32"/>
        </w:rPr>
        <w:t>,</w:t>
      </w:r>
      <w:r>
        <w:rPr>
          <w:rFonts w:hint="eastAsia" w:ascii="宋体" w:hAnsi="宋体" w:eastAsia="宋体" w:cs="宋体"/>
          <w:sz w:val="32"/>
          <w:szCs w:val="32"/>
        </w:rPr>
        <w:t>占</w:t>
      </w:r>
      <w:r>
        <w:rPr>
          <w:rFonts w:ascii="宋体" w:hAnsi="宋体" w:eastAsia="宋体" w:cs="宋体"/>
          <w:sz w:val="32"/>
          <w:szCs w:val="32"/>
        </w:rPr>
        <w:t>4.75%.</w:t>
      </w:r>
    </w:p>
    <w:p>
      <w:pPr>
        <w:pStyle w:val="15"/>
        <w:ind w:firstLine="800"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5"/>
        <w:ind w:firstLine="800" w:firstLineChars="25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年度财政拨款支出年初预算数为</w:t>
      </w:r>
      <w:r>
        <w:rPr>
          <w:rFonts w:ascii="宋体" w:hAnsi="宋体" w:eastAsia="宋体" w:cs="宋体"/>
          <w:sz w:val="32"/>
          <w:szCs w:val="32"/>
        </w:rPr>
        <w:t>1381.53</w:t>
      </w:r>
      <w:r>
        <w:rPr>
          <w:rFonts w:hint="eastAsia" w:ascii="宋体" w:hAnsi="宋体" w:eastAsia="宋体" w:cs="宋体"/>
          <w:sz w:val="32"/>
          <w:szCs w:val="32"/>
        </w:rPr>
        <w:t>万元，支出决算数为</w:t>
      </w:r>
      <w:r>
        <w:rPr>
          <w:rFonts w:ascii="宋体" w:hAnsi="宋体" w:eastAsia="宋体" w:cs="宋体"/>
          <w:sz w:val="32"/>
          <w:szCs w:val="32"/>
        </w:rPr>
        <w:t>1468.33</w:t>
      </w:r>
      <w:r>
        <w:rPr>
          <w:rFonts w:hint="eastAsia" w:ascii="宋体" w:hAnsi="宋体" w:eastAsia="宋体" w:cs="宋体"/>
          <w:sz w:val="32"/>
          <w:szCs w:val="32"/>
        </w:rPr>
        <w:t>万元，完成年初预算的</w:t>
      </w:r>
      <w:r>
        <w:rPr>
          <w:rFonts w:ascii="宋体" w:hAnsi="宋体" w:eastAsia="宋体" w:cs="宋体"/>
          <w:sz w:val="32"/>
          <w:szCs w:val="32"/>
        </w:rPr>
        <w:t>106.28%</w:t>
      </w:r>
      <w:r>
        <w:rPr>
          <w:rFonts w:hint="eastAsia" w:ascii="宋体" w:hAnsi="宋体" w:eastAsia="宋体" w:cs="宋体"/>
          <w:sz w:val="32"/>
          <w:szCs w:val="32"/>
        </w:rPr>
        <w:t>，其中：</w:t>
      </w:r>
    </w:p>
    <w:p>
      <w:pPr>
        <w:pStyle w:val="15"/>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、公共安全支出－检察－行政运行支出。</w:t>
      </w:r>
    </w:p>
    <w:p>
      <w:pPr>
        <w:pStyle w:val="15"/>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1076.7</w:t>
      </w:r>
      <w:r>
        <w:rPr>
          <w:rFonts w:hint="eastAsia" w:ascii="宋体" w:hAnsi="宋体" w:eastAsia="宋体" w:cs="宋体"/>
          <w:sz w:val="32"/>
          <w:szCs w:val="32"/>
        </w:rPr>
        <w:t>万元，支出决算为</w:t>
      </w:r>
      <w:r>
        <w:rPr>
          <w:rFonts w:ascii="宋体" w:hAnsi="宋体" w:eastAsia="宋体" w:cs="宋体"/>
          <w:sz w:val="32"/>
          <w:szCs w:val="32"/>
        </w:rPr>
        <w:t>1107.33</w:t>
      </w:r>
      <w:r>
        <w:rPr>
          <w:rFonts w:hint="eastAsia" w:ascii="宋体" w:hAnsi="宋体" w:eastAsia="宋体" w:cs="宋体"/>
          <w:sz w:val="32"/>
          <w:szCs w:val="32"/>
        </w:rPr>
        <w:t>万元，完成年初预算的</w:t>
      </w:r>
      <w:r>
        <w:rPr>
          <w:rFonts w:ascii="宋体" w:hAnsi="宋体" w:eastAsia="宋体" w:cs="宋体"/>
          <w:sz w:val="32"/>
          <w:szCs w:val="32"/>
        </w:rPr>
        <w:t>102.84%</w:t>
      </w:r>
      <w:r>
        <w:rPr>
          <w:rFonts w:hint="eastAsia" w:ascii="宋体" w:hAnsi="宋体" w:eastAsia="宋体" w:cs="宋体"/>
          <w:sz w:val="32"/>
          <w:szCs w:val="32"/>
        </w:rPr>
        <w:t>，决算数大于年初预算数的主要原因是：经费不足申请年中追加行政运行经费。</w:t>
      </w:r>
    </w:p>
    <w:p>
      <w:pPr>
        <w:pStyle w:val="15"/>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、公共安全支出－检察－一般行政管理事务。</w:t>
      </w:r>
    </w:p>
    <w:p>
      <w:pPr>
        <w:pStyle w:val="15"/>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75</w:t>
      </w:r>
      <w:r>
        <w:rPr>
          <w:rFonts w:hint="eastAsia" w:ascii="宋体" w:hAnsi="宋体" w:eastAsia="宋体" w:cs="宋体"/>
          <w:sz w:val="32"/>
          <w:szCs w:val="32"/>
        </w:rPr>
        <w:t>万元，支出决算为</w:t>
      </w:r>
      <w:r>
        <w:rPr>
          <w:rFonts w:ascii="宋体" w:hAnsi="宋体" w:eastAsia="宋体" w:cs="宋体"/>
          <w:sz w:val="32"/>
          <w:szCs w:val="32"/>
        </w:rPr>
        <w:t>131.17</w:t>
      </w:r>
      <w:r>
        <w:rPr>
          <w:rFonts w:hint="eastAsia" w:ascii="宋体" w:hAnsi="宋体" w:eastAsia="宋体" w:cs="宋体"/>
          <w:sz w:val="32"/>
          <w:szCs w:val="32"/>
        </w:rPr>
        <w:t>万元，完成年初预算的</w:t>
      </w:r>
      <w:r>
        <w:rPr>
          <w:rFonts w:ascii="宋体" w:hAnsi="宋体" w:eastAsia="宋体" w:cs="宋体"/>
          <w:sz w:val="32"/>
          <w:szCs w:val="32"/>
        </w:rPr>
        <w:t>174.89%</w:t>
      </w:r>
      <w:r>
        <w:rPr>
          <w:rFonts w:hint="eastAsia" w:ascii="宋体" w:hAnsi="宋体" w:eastAsia="宋体" w:cs="宋体"/>
          <w:sz w:val="32"/>
          <w:szCs w:val="32"/>
        </w:rPr>
        <w:t>，决算数大于年初预算数的主要原因是：年初结余一般行政管理事务上年结转项目在今年支出完毕。</w:t>
      </w:r>
    </w:p>
    <w:p>
      <w:pPr>
        <w:pStyle w:val="15"/>
        <w:numPr>
          <w:ilvl w:val="0"/>
          <w:numId w:val="2"/>
        </w:numPr>
        <w:ind w:firstLine="800" w:firstLineChars="250"/>
        <w:rPr>
          <w:rFonts w:ascii="宋体" w:hAnsi="宋体" w:eastAsia="宋体" w:cs="Times New Roman"/>
          <w:sz w:val="32"/>
          <w:szCs w:val="32"/>
        </w:rPr>
      </w:pPr>
      <w:r>
        <w:rPr>
          <w:rFonts w:hint="eastAsia" w:ascii="宋体" w:hAnsi="宋体" w:eastAsia="宋体" w:cs="宋体"/>
          <w:sz w:val="32"/>
          <w:szCs w:val="32"/>
        </w:rPr>
        <w:t>公共安全支出－检察－检察监督。</w:t>
      </w:r>
    </w:p>
    <w:p>
      <w:pPr>
        <w:pStyle w:val="15"/>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44.33</w:t>
      </w:r>
      <w:r>
        <w:rPr>
          <w:rFonts w:hint="eastAsia" w:ascii="宋体" w:hAnsi="宋体" w:eastAsia="宋体" w:cs="宋体"/>
          <w:sz w:val="32"/>
          <w:szCs w:val="32"/>
        </w:rPr>
        <w:t>万元，支出决算为</w:t>
      </w:r>
      <w:r>
        <w:rPr>
          <w:rFonts w:ascii="宋体" w:hAnsi="宋体" w:eastAsia="宋体" w:cs="宋体"/>
          <w:sz w:val="32"/>
          <w:szCs w:val="32"/>
        </w:rPr>
        <w:t>44.33</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5"/>
        <w:numPr>
          <w:ilvl w:val="0"/>
          <w:numId w:val="2"/>
        </w:numPr>
        <w:ind w:firstLine="800" w:firstLineChars="250"/>
        <w:rPr>
          <w:rFonts w:ascii="宋体" w:hAnsi="宋体" w:eastAsia="宋体" w:cs="Times New Roman"/>
          <w:sz w:val="32"/>
          <w:szCs w:val="32"/>
        </w:rPr>
      </w:pPr>
      <w:r>
        <w:rPr>
          <w:rFonts w:hint="eastAsia" w:ascii="宋体" w:hAnsi="宋体" w:eastAsia="宋体" w:cs="宋体"/>
          <w:sz w:val="32"/>
          <w:szCs w:val="32"/>
        </w:rPr>
        <w:t>社会保障和就业支出－行政事业单位养老支出－机关事业单位基本养老保险缴费支出。</w:t>
      </w:r>
    </w:p>
    <w:p>
      <w:pPr>
        <w:pStyle w:val="15"/>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66</w:t>
      </w:r>
      <w:r>
        <w:rPr>
          <w:rFonts w:hint="eastAsia" w:ascii="宋体" w:hAnsi="宋体" w:eastAsia="宋体" w:cs="宋体"/>
          <w:sz w:val="32"/>
          <w:szCs w:val="32"/>
        </w:rPr>
        <w:t>万元，支出决算为</w:t>
      </w:r>
      <w:r>
        <w:rPr>
          <w:rFonts w:ascii="宋体" w:hAnsi="宋体" w:eastAsia="宋体" w:cs="宋体"/>
          <w:sz w:val="32"/>
          <w:szCs w:val="32"/>
        </w:rPr>
        <w:t>66</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5"/>
        <w:numPr>
          <w:ilvl w:val="0"/>
          <w:numId w:val="2"/>
        </w:numPr>
        <w:ind w:firstLine="800" w:firstLineChars="250"/>
        <w:rPr>
          <w:rFonts w:ascii="宋体" w:hAnsi="宋体" w:eastAsia="宋体" w:cs="Times New Roman"/>
          <w:sz w:val="32"/>
          <w:szCs w:val="32"/>
        </w:rPr>
      </w:pPr>
      <w:r>
        <w:rPr>
          <w:rFonts w:hint="eastAsia" w:ascii="宋体" w:hAnsi="宋体" w:eastAsia="宋体" w:cs="宋体"/>
          <w:sz w:val="32"/>
          <w:szCs w:val="32"/>
        </w:rPr>
        <w:t>社会保障和就业支出－其他社会保障和就业支出－其他社会保障和就业支出。</w:t>
      </w:r>
    </w:p>
    <w:p>
      <w:pPr>
        <w:pStyle w:val="15"/>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12.5</w:t>
      </w:r>
      <w:r>
        <w:rPr>
          <w:rFonts w:hint="eastAsia" w:ascii="宋体" w:hAnsi="宋体" w:eastAsia="宋体" w:cs="宋体"/>
          <w:sz w:val="32"/>
          <w:szCs w:val="32"/>
        </w:rPr>
        <w:t>万元，支出决算为</w:t>
      </w:r>
      <w:r>
        <w:rPr>
          <w:rFonts w:ascii="宋体" w:hAnsi="宋体" w:eastAsia="宋体" w:cs="宋体"/>
          <w:sz w:val="32"/>
          <w:szCs w:val="32"/>
        </w:rPr>
        <w:t>12.5</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5"/>
        <w:numPr>
          <w:ilvl w:val="0"/>
          <w:numId w:val="2"/>
        </w:numPr>
        <w:ind w:firstLine="800" w:firstLineChars="250"/>
        <w:rPr>
          <w:rFonts w:ascii="宋体" w:hAnsi="宋体" w:eastAsia="宋体" w:cs="Times New Roman"/>
          <w:sz w:val="32"/>
          <w:szCs w:val="32"/>
        </w:rPr>
      </w:pPr>
      <w:r>
        <w:rPr>
          <w:rFonts w:hint="eastAsia" w:ascii="宋体" w:hAnsi="宋体" w:eastAsia="宋体" w:cs="宋体"/>
          <w:sz w:val="32"/>
          <w:szCs w:val="32"/>
        </w:rPr>
        <w:t>卫生健康支出－行政事业单位医疗－行政单位医疗。</w:t>
      </w:r>
    </w:p>
    <w:p>
      <w:pPr>
        <w:pStyle w:val="15"/>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38</w:t>
      </w:r>
      <w:r>
        <w:rPr>
          <w:rFonts w:hint="eastAsia" w:ascii="宋体" w:hAnsi="宋体" w:eastAsia="宋体" w:cs="宋体"/>
          <w:sz w:val="32"/>
          <w:szCs w:val="32"/>
        </w:rPr>
        <w:t>万元，支出决算为</w:t>
      </w:r>
      <w:r>
        <w:rPr>
          <w:rFonts w:ascii="宋体" w:hAnsi="宋体" w:eastAsia="宋体" w:cs="宋体"/>
          <w:sz w:val="32"/>
          <w:szCs w:val="32"/>
        </w:rPr>
        <w:t>38</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5"/>
        <w:numPr>
          <w:ilvl w:val="0"/>
          <w:numId w:val="2"/>
        </w:numPr>
        <w:ind w:firstLine="800" w:firstLineChars="250"/>
        <w:rPr>
          <w:rFonts w:ascii="宋体" w:hAnsi="宋体" w:eastAsia="宋体" w:cs="Times New Roman"/>
          <w:sz w:val="32"/>
          <w:szCs w:val="32"/>
        </w:rPr>
      </w:pPr>
      <w:r>
        <w:rPr>
          <w:rFonts w:hint="eastAsia" w:ascii="宋体" w:hAnsi="宋体" w:eastAsia="宋体" w:cs="宋体"/>
          <w:sz w:val="32"/>
          <w:szCs w:val="32"/>
        </w:rPr>
        <w:t>住房保障支出－住房改革支出－住房公积金。</w:t>
      </w:r>
    </w:p>
    <w:p>
      <w:pPr>
        <w:pStyle w:val="15"/>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69</w:t>
      </w:r>
      <w:r>
        <w:rPr>
          <w:rFonts w:hint="eastAsia" w:ascii="宋体" w:hAnsi="宋体" w:eastAsia="宋体" w:cs="宋体"/>
          <w:sz w:val="32"/>
          <w:szCs w:val="32"/>
        </w:rPr>
        <w:t>万元，支出决算为</w:t>
      </w:r>
      <w:r>
        <w:rPr>
          <w:rFonts w:ascii="宋体" w:hAnsi="宋体" w:eastAsia="宋体" w:cs="宋体"/>
          <w:sz w:val="32"/>
          <w:szCs w:val="32"/>
        </w:rPr>
        <w:t>69</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w:t>
      </w:r>
    </w:p>
    <w:p>
      <w:pPr>
        <w:pStyle w:val="15"/>
        <w:rPr>
          <w:rFonts w:ascii="宋体" w:hAnsi="宋体" w:eastAsia="宋体" w:cs="Times New Roman"/>
          <w:sz w:val="32"/>
          <w:szCs w:val="32"/>
        </w:rPr>
      </w:pPr>
    </w:p>
    <w:p>
      <w:pPr>
        <w:pStyle w:val="15"/>
        <w:rPr>
          <w:rFonts w:hAnsi="黑体" w:cs="Times New Roman"/>
          <w:b/>
          <w:bCs/>
          <w:sz w:val="32"/>
          <w:szCs w:val="32"/>
        </w:rPr>
      </w:pPr>
      <w:r>
        <w:rPr>
          <w:rFonts w:hint="eastAsia" w:hAnsi="黑体"/>
          <w:b/>
          <w:bCs/>
          <w:sz w:val="32"/>
          <w:szCs w:val="32"/>
        </w:rPr>
        <w:t>六、一般公共预算财政拨款基本支出决算情况说明</w:t>
      </w:r>
    </w:p>
    <w:p>
      <w:pPr>
        <w:pStyle w:val="15"/>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年度财政拨款基本支出</w:t>
      </w:r>
      <w:r>
        <w:rPr>
          <w:rFonts w:ascii="宋体" w:hAnsi="宋体" w:eastAsia="宋体" w:cs="宋体"/>
          <w:sz w:val="32"/>
          <w:szCs w:val="32"/>
        </w:rPr>
        <w:t>1337.16</w:t>
      </w:r>
      <w:r>
        <w:rPr>
          <w:rFonts w:hint="eastAsia" w:ascii="宋体" w:hAnsi="宋体" w:eastAsia="宋体" w:cs="宋体"/>
          <w:sz w:val="32"/>
          <w:szCs w:val="32"/>
        </w:rPr>
        <w:t>万元，其中：人员经费</w:t>
      </w:r>
      <w:r>
        <w:rPr>
          <w:rFonts w:ascii="宋体" w:hAnsi="宋体" w:eastAsia="宋体" w:cs="宋体"/>
          <w:sz w:val="32"/>
          <w:szCs w:val="32"/>
        </w:rPr>
        <w:t>883.19</w:t>
      </w:r>
      <w:r>
        <w:rPr>
          <w:rFonts w:hint="eastAsia" w:ascii="宋体" w:hAnsi="宋体" w:eastAsia="宋体" w:cs="宋体"/>
          <w:sz w:val="32"/>
          <w:szCs w:val="32"/>
        </w:rPr>
        <w:t>万元，占基本支出的</w:t>
      </w:r>
      <w:r>
        <w:rPr>
          <w:rFonts w:ascii="宋体" w:hAnsi="宋体" w:eastAsia="宋体" w:cs="宋体"/>
          <w:sz w:val="32"/>
          <w:szCs w:val="32"/>
        </w:rPr>
        <w:t>66.05%,</w:t>
      </w:r>
      <w:r>
        <w:rPr>
          <w:rFonts w:hint="eastAsia" w:ascii="宋体" w:hAnsi="宋体" w:eastAsia="宋体" w:cs="宋体"/>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救济费、医疗费补助、助学金、奖励金、个人农业生产补贴、其他对个人和家庭的补助支出；公用经费</w:t>
      </w:r>
      <w:r>
        <w:rPr>
          <w:rFonts w:ascii="宋体" w:hAnsi="宋体" w:eastAsia="宋体" w:cs="宋体"/>
          <w:sz w:val="32"/>
          <w:szCs w:val="32"/>
        </w:rPr>
        <w:t>453.97</w:t>
      </w:r>
      <w:r>
        <w:rPr>
          <w:rFonts w:hint="eastAsia" w:ascii="宋体" w:hAnsi="宋体" w:eastAsia="宋体" w:cs="宋体"/>
          <w:sz w:val="32"/>
          <w:szCs w:val="32"/>
        </w:rPr>
        <w:t>万元，占基本支出的</w:t>
      </w:r>
      <w:r>
        <w:rPr>
          <w:rFonts w:ascii="宋体" w:hAnsi="宋体" w:eastAsia="宋体" w:cs="宋体"/>
          <w:sz w:val="32"/>
          <w:szCs w:val="32"/>
        </w:rPr>
        <w:t>33.95%</w:t>
      </w:r>
      <w:r>
        <w:rPr>
          <w:rFonts w:hint="eastAsia" w:ascii="宋体" w:hAnsi="宋体" w:eastAsia="宋体" w:cs="宋体"/>
          <w:sz w:val="32"/>
          <w:szCs w:val="32"/>
        </w:rPr>
        <w:t>，主要包括办公费、印刷费、咨询费、手续费、水费、电费、邮电费、取暖费、物业管理费、差旅费、维修（护）费、租赁费、会议费、培训费、公务接待费、专用材料费、被装购置费、专用燃料费、劳务费、委托业务费、工会经费、福利费、公务用车运行维护费、其他交通费用、其他商品和服务支出、税金及附加、办公设备购置、专用设备购置、信息网络及软件购置更新、公务用车购置、其他资本性支出、国家赔偿费用支出。</w:t>
      </w:r>
    </w:p>
    <w:p>
      <w:pPr>
        <w:pStyle w:val="15"/>
        <w:rPr>
          <w:rFonts w:hAnsi="黑体" w:cs="Times New Roman"/>
          <w:b/>
          <w:bCs/>
          <w:sz w:val="32"/>
          <w:szCs w:val="32"/>
        </w:rPr>
      </w:pPr>
      <w:r>
        <w:rPr>
          <w:rFonts w:hint="eastAsia" w:hAnsi="黑体"/>
          <w:b/>
          <w:bCs/>
          <w:sz w:val="32"/>
          <w:szCs w:val="32"/>
        </w:rPr>
        <w:t>七、一般公共预算财政拨款三公经费支出决算情况说明</w:t>
      </w:r>
    </w:p>
    <w:p>
      <w:pPr>
        <w:pStyle w:val="15"/>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5"/>
        <w:ind w:firstLine="800" w:firstLineChars="250"/>
        <w:rPr>
          <w:rFonts w:ascii="宋体" w:hAnsi="宋体" w:eastAsia="宋体" w:cs="Times New Roman"/>
          <w:sz w:val="32"/>
          <w:szCs w:val="32"/>
        </w:rPr>
      </w:pPr>
      <w:r>
        <w:rPr>
          <w:rFonts w:hint="eastAsia" w:ascii="宋体" w:hAnsi="宋体" w:eastAsia="宋体" w:cs="宋体"/>
          <w:sz w:val="32"/>
          <w:szCs w:val="32"/>
        </w:rPr>
        <w:t>“三公”经费财政拨款支出预算为</w:t>
      </w:r>
      <w:r>
        <w:rPr>
          <w:rFonts w:ascii="宋体" w:hAnsi="宋体" w:eastAsia="宋体" w:cs="宋体"/>
          <w:sz w:val="32"/>
          <w:szCs w:val="32"/>
        </w:rPr>
        <w:t>55.28</w:t>
      </w:r>
      <w:r>
        <w:rPr>
          <w:rFonts w:hint="eastAsia" w:ascii="宋体" w:hAnsi="宋体" w:eastAsia="宋体" w:cs="宋体"/>
          <w:sz w:val="32"/>
          <w:szCs w:val="32"/>
        </w:rPr>
        <w:t>万元，支出决算为</w:t>
      </w:r>
      <w:r>
        <w:rPr>
          <w:rFonts w:ascii="宋体" w:hAnsi="宋体" w:eastAsia="宋体" w:cs="宋体"/>
          <w:sz w:val="32"/>
          <w:szCs w:val="32"/>
        </w:rPr>
        <w:t>55.28</w:t>
      </w:r>
      <w:r>
        <w:rPr>
          <w:rFonts w:hint="eastAsia" w:ascii="宋体" w:hAnsi="宋体" w:eastAsia="宋体" w:cs="宋体"/>
          <w:sz w:val="32"/>
          <w:szCs w:val="32"/>
        </w:rPr>
        <w:t>万元，完成预算的</w:t>
      </w:r>
      <w:r>
        <w:rPr>
          <w:rFonts w:ascii="宋体" w:hAnsi="宋体" w:eastAsia="宋体" w:cs="宋体"/>
          <w:sz w:val="32"/>
          <w:szCs w:val="32"/>
        </w:rPr>
        <w:t>100%</w:t>
      </w:r>
      <w:r>
        <w:rPr>
          <w:rFonts w:hint="eastAsia" w:ascii="宋体" w:hAnsi="宋体" w:eastAsia="宋体" w:cs="宋体"/>
          <w:sz w:val="32"/>
          <w:szCs w:val="32"/>
        </w:rPr>
        <w:t>，其中：</w:t>
      </w:r>
    </w:p>
    <w:p>
      <w:pPr>
        <w:pStyle w:val="15"/>
        <w:ind w:firstLine="800" w:firstLineChars="250"/>
        <w:rPr>
          <w:rFonts w:ascii="宋体" w:hAnsi="宋体" w:eastAsia="宋体" w:cs="Times New Roman"/>
          <w:sz w:val="32"/>
          <w:szCs w:val="32"/>
        </w:rPr>
      </w:pPr>
      <w:r>
        <w:rPr>
          <w:rFonts w:hint="eastAsia" w:ascii="宋体" w:hAnsi="宋体" w:eastAsia="宋体" w:cs="宋体"/>
          <w:sz w:val="32"/>
          <w:szCs w:val="32"/>
        </w:rPr>
        <w:t>因公出国（境）费支出预算为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0</w:t>
      </w:r>
      <w:r>
        <w:rPr>
          <w:rFonts w:hint="eastAsia" w:ascii="宋体" w:hAnsi="宋体" w:eastAsia="宋体" w:cs="宋体"/>
          <w:sz w:val="32"/>
          <w:szCs w:val="32"/>
        </w:rPr>
        <w:t>万元，完成预算的</w:t>
      </w:r>
      <w:r>
        <w:rPr>
          <w:rFonts w:ascii="宋体" w:hAnsi="宋体" w:eastAsia="宋体" w:cs="宋体"/>
          <w:sz w:val="32"/>
          <w:szCs w:val="32"/>
        </w:rPr>
        <w:t>0%</w:t>
      </w:r>
      <w:r>
        <w:rPr>
          <w:rFonts w:hint="eastAsia" w:ascii="宋体" w:hAnsi="宋体" w:eastAsia="宋体" w:cs="宋体"/>
          <w:sz w:val="32"/>
          <w:szCs w:val="32"/>
        </w:rPr>
        <w:t>。</w:t>
      </w:r>
    </w:p>
    <w:p>
      <w:pPr>
        <w:pStyle w:val="15"/>
        <w:ind w:firstLine="800" w:firstLineChars="250"/>
        <w:rPr>
          <w:rFonts w:ascii="宋体" w:hAnsi="宋体" w:eastAsia="宋体" w:cs="Times New Roman"/>
          <w:sz w:val="32"/>
          <w:szCs w:val="32"/>
        </w:rPr>
      </w:pPr>
      <w:r>
        <w:rPr>
          <w:rFonts w:hint="eastAsia" w:ascii="宋体" w:hAnsi="宋体" w:eastAsia="宋体" w:cs="宋体"/>
          <w:sz w:val="32"/>
          <w:szCs w:val="32"/>
        </w:rPr>
        <w:t>公务接待费支出预算为</w:t>
      </w:r>
      <w:r>
        <w:rPr>
          <w:rFonts w:ascii="宋体" w:hAnsi="宋体" w:eastAsia="宋体" w:cs="宋体"/>
          <w:sz w:val="32"/>
          <w:szCs w:val="32"/>
        </w:rPr>
        <w:t>13.28</w:t>
      </w:r>
      <w:r>
        <w:rPr>
          <w:rFonts w:hint="eastAsia" w:ascii="宋体" w:hAnsi="宋体" w:eastAsia="宋体" w:cs="宋体"/>
          <w:sz w:val="32"/>
          <w:szCs w:val="32"/>
        </w:rPr>
        <w:t>万元，支出决算为</w:t>
      </w:r>
      <w:r>
        <w:rPr>
          <w:rFonts w:ascii="宋体" w:hAnsi="宋体" w:eastAsia="宋体" w:cs="宋体"/>
          <w:sz w:val="32"/>
          <w:szCs w:val="32"/>
        </w:rPr>
        <w:t>10.28</w:t>
      </w:r>
      <w:r>
        <w:rPr>
          <w:rFonts w:hint="eastAsia" w:ascii="宋体" w:hAnsi="宋体" w:eastAsia="宋体" w:cs="宋体"/>
          <w:sz w:val="32"/>
          <w:szCs w:val="32"/>
        </w:rPr>
        <w:t>万元，完成预算的</w:t>
      </w:r>
      <w:r>
        <w:rPr>
          <w:rFonts w:ascii="宋体" w:hAnsi="宋体" w:eastAsia="宋体" w:cs="宋体"/>
          <w:sz w:val="32"/>
          <w:szCs w:val="32"/>
        </w:rPr>
        <w:t>77.4%</w:t>
      </w:r>
      <w:r>
        <w:rPr>
          <w:rFonts w:hint="eastAsia" w:ascii="宋体" w:hAnsi="宋体" w:eastAsia="宋体" w:cs="宋体"/>
          <w:sz w:val="32"/>
          <w:szCs w:val="32"/>
        </w:rPr>
        <w:t>，决算数小于预算数的主要原因是进一步从严控制公务接待经费开支，</w:t>
      </w:r>
      <w:r>
        <w:rPr>
          <w:rFonts w:hint="eastAsia" w:ascii="宋体" w:hAnsi="宋体" w:eastAsia="宋体" w:cs="宋体"/>
          <w:b/>
          <w:bCs/>
          <w:sz w:val="32"/>
          <w:szCs w:val="32"/>
        </w:rPr>
        <w:t>与上年相比持平</w:t>
      </w:r>
      <w:r>
        <w:rPr>
          <w:rFonts w:hint="eastAsia" w:ascii="宋体" w:hAnsi="宋体" w:eastAsia="宋体" w:cs="宋体"/>
          <w:sz w:val="32"/>
          <w:szCs w:val="32"/>
        </w:rPr>
        <w:t>。</w:t>
      </w:r>
    </w:p>
    <w:p>
      <w:pPr>
        <w:pStyle w:val="15"/>
        <w:ind w:firstLine="640" w:firstLineChars="200"/>
        <w:rPr>
          <w:rFonts w:ascii="宋体" w:hAnsi="宋体" w:eastAsia="宋体" w:cs="Times New Roman"/>
          <w:sz w:val="32"/>
          <w:szCs w:val="32"/>
        </w:rPr>
      </w:pPr>
      <w:r>
        <w:rPr>
          <w:rFonts w:hint="eastAsia" w:ascii="宋体" w:hAnsi="宋体" w:eastAsia="宋体" w:cs="宋体"/>
          <w:sz w:val="32"/>
          <w:szCs w:val="32"/>
        </w:rPr>
        <w:t>公务用车购置费及运行维护费支出预算为</w:t>
      </w:r>
      <w:r>
        <w:rPr>
          <w:rFonts w:ascii="宋体" w:hAnsi="宋体" w:eastAsia="宋体" w:cs="宋体"/>
          <w:sz w:val="32"/>
          <w:szCs w:val="32"/>
        </w:rPr>
        <w:t>42</w:t>
      </w:r>
      <w:r>
        <w:rPr>
          <w:rFonts w:hint="eastAsia" w:ascii="宋体" w:hAnsi="宋体" w:eastAsia="宋体" w:cs="宋体"/>
          <w:sz w:val="32"/>
          <w:szCs w:val="32"/>
        </w:rPr>
        <w:t>万元，支出决算为</w:t>
      </w:r>
      <w:r>
        <w:rPr>
          <w:rFonts w:ascii="宋体" w:hAnsi="宋体" w:eastAsia="宋体" w:cs="宋体"/>
          <w:sz w:val="32"/>
          <w:szCs w:val="32"/>
        </w:rPr>
        <w:t>45</w:t>
      </w:r>
      <w:r>
        <w:rPr>
          <w:rFonts w:hint="eastAsia" w:ascii="宋体" w:hAnsi="宋体" w:eastAsia="宋体" w:cs="宋体"/>
          <w:sz w:val="32"/>
          <w:szCs w:val="32"/>
        </w:rPr>
        <w:t>万元，完成预算的</w:t>
      </w:r>
      <w:r>
        <w:rPr>
          <w:rFonts w:ascii="宋体" w:hAnsi="宋体" w:eastAsia="宋体" w:cs="宋体"/>
          <w:sz w:val="32"/>
          <w:szCs w:val="32"/>
        </w:rPr>
        <w:t>107.14%</w:t>
      </w:r>
      <w:r>
        <w:rPr>
          <w:rFonts w:hint="eastAsia" w:ascii="宋体" w:hAnsi="宋体" w:eastAsia="宋体" w:cs="宋体"/>
          <w:sz w:val="32"/>
          <w:szCs w:val="32"/>
        </w:rPr>
        <w:t>，决算数大于预算数的主要原因是</w:t>
      </w:r>
      <w:r>
        <w:rPr>
          <w:rFonts w:hint="eastAsia" w:ascii="宋体" w:hAnsi="宋体" w:eastAsia="宋体" w:cs="宋体"/>
          <w:b/>
          <w:bCs/>
          <w:sz w:val="32"/>
          <w:szCs w:val="32"/>
        </w:rPr>
        <w:t>将公务接待费支出预算调整到公务用车购置费及运行维护费弥补因经费不足，与上年相比持平。</w:t>
      </w:r>
    </w:p>
    <w:p>
      <w:pPr>
        <w:pStyle w:val="15"/>
        <w:rPr>
          <w:rFonts w:ascii="宋体" w:hAnsi="宋体" w:eastAsia="宋体" w:cs="Times New Roman"/>
          <w:b/>
          <w:bCs/>
          <w:sz w:val="32"/>
          <w:szCs w:val="32"/>
        </w:rPr>
      </w:pPr>
      <w:r>
        <w:rPr>
          <w:rFonts w:hint="eastAsia" w:ascii="宋体" w:hAnsi="宋体" w:eastAsia="宋体" w:cs="宋体"/>
          <w:b/>
          <w:bCs/>
          <w:sz w:val="32"/>
          <w:szCs w:val="32"/>
        </w:rPr>
        <w:t>（二）“三公”经费财政拨款支出决算具体情况说明</w:t>
      </w:r>
    </w:p>
    <w:p>
      <w:pPr>
        <w:pStyle w:val="15"/>
        <w:ind w:firstLine="640" w:firstLineChars="200"/>
        <w:rPr>
          <w:rFonts w:ascii="宋体" w:hAnsi="宋体" w:eastAsia="宋体" w:cs="Times New Roman"/>
          <w:sz w:val="32"/>
          <w:szCs w:val="32"/>
        </w:rPr>
      </w:pPr>
      <w:r>
        <w:rPr>
          <w:rFonts w:ascii="宋体" w:hAnsi="宋体" w:eastAsia="宋体" w:cs="宋体"/>
          <w:sz w:val="32"/>
          <w:szCs w:val="32"/>
        </w:rPr>
        <w:t>2020</w:t>
      </w:r>
      <w:r>
        <w:rPr>
          <w:rFonts w:hint="eastAsia" w:ascii="宋体" w:hAnsi="宋体" w:eastAsia="宋体" w:cs="宋体"/>
          <w:sz w:val="32"/>
          <w:szCs w:val="32"/>
        </w:rPr>
        <w:t>年度“三公”经费财政拨款支出决算中，公务接待费支出决算</w:t>
      </w:r>
      <w:r>
        <w:rPr>
          <w:rFonts w:ascii="宋体" w:hAnsi="宋体" w:eastAsia="宋体" w:cs="宋体"/>
          <w:sz w:val="32"/>
          <w:szCs w:val="32"/>
        </w:rPr>
        <w:t>10.28</w:t>
      </w:r>
      <w:r>
        <w:rPr>
          <w:rFonts w:hint="eastAsia" w:ascii="宋体" w:hAnsi="宋体" w:eastAsia="宋体" w:cs="宋体"/>
          <w:sz w:val="32"/>
          <w:szCs w:val="32"/>
        </w:rPr>
        <w:t>万元，占</w:t>
      </w:r>
      <w:r>
        <w:rPr>
          <w:rFonts w:ascii="宋体" w:hAnsi="宋体" w:eastAsia="宋体" w:cs="宋体"/>
          <w:sz w:val="32"/>
          <w:szCs w:val="32"/>
        </w:rPr>
        <w:t>18.6%,</w:t>
      </w:r>
      <w:r>
        <w:rPr>
          <w:rFonts w:hint="eastAsia" w:ascii="宋体" w:hAnsi="宋体" w:eastAsia="宋体" w:cs="宋体"/>
          <w:sz w:val="32"/>
          <w:szCs w:val="32"/>
        </w:rPr>
        <w:t>因公出国（境）费支出决算</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公务用车购置费及运行维护费支出决算</w:t>
      </w:r>
      <w:r>
        <w:rPr>
          <w:rFonts w:ascii="宋体" w:hAnsi="宋体" w:eastAsia="宋体" w:cs="宋体"/>
          <w:sz w:val="32"/>
          <w:szCs w:val="32"/>
        </w:rPr>
        <w:t>45</w:t>
      </w:r>
      <w:r>
        <w:rPr>
          <w:rFonts w:hint="eastAsia" w:ascii="宋体" w:hAnsi="宋体" w:eastAsia="宋体" w:cs="宋体"/>
          <w:sz w:val="32"/>
          <w:szCs w:val="32"/>
        </w:rPr>
        <w:t>万元，占</w:t>
      </w:r>
      <w:r>
        <w:rPr>
          <w:rFonts w:ascii="宋体" w:hAnsi="宋体" w:eastAsia="宋体" w:cs="宋体"/>
          <w:sz w:val="32"/>
          <w:szCs w:val="32"/>
        </w:rPr>
        <w:t>81.4%</w:t>
      </w:r>
      <w:r>
        <w:rPr>
          <w:rFonts w:hint="eastAsia" w:ascii="宋体" w:hAnsi="宋体" w:eastAsia="宋体" w:cs="宋体"/>
          <w:sz w:val="32"/>
          <w:szCs w:val="32"/>
        </w:rPr>
        <w:t>。其中：</w:t>
      </w:r>
    </w:p>
    <w:p>
      <w:pPr>
        <w:pStyle w:val="15"/>
        <w:ind w:firstLine="640" w:firstLineChars="200"/>
        <w:rPr>
          <w:rFonts w:ascii="宋体" w:hAnsi="宋体" w:eastAsia="宋体" w:cs="Times New Roman"/>
          <w:b/>
          <w:bCs/>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w:t>
      </w:r>
      <w:r>
        <w:rPr>
          <w:rFonts w:ascii="宋体" w:hAnsi="宋体" w:eastAsia="宋体" w:cs="宋体"/>
          <w:sz w:val="32"/>
          <w:szCs w:val="32"/>
        </w:rPr>
        <w:t>0</w:t>
      </w:r>
      <w:r>
        <w:rPr>
          <w:rFonts w:hint="eastAsia" w:ascii="宋体" w:hAnsi="宋体" w:eastAsia="宋体" w:cs="宋体"/>
          <w:sz w:val="32"/>
          <w:szCs w:val="32"/>
        </w:rPr>
        <w:t>万元，全年安排因公出国（境）团组</w:t>
      </w:r>
      <w:r>
        <w:rPr>
          <w:rFonts w:ascii="宋体" w:hAnsi="宋体" w:eastAsia="宋体" w:cs="宋体"/>
          <w:sz w:val="32"/>
          <w:szCs w:val="32"/>
        </w:rPr>
        <w:t>0</w:t>
      </w:r>
      <w:r>
        <w:rPr>
          <w:rFonts w:hint="eastAsia" w:ascii="宋体" w:hAnsi="宋体" w:eastAsia="宋体" w:cs="宋体"/>
          <w:sz w:val="32"/>
          <w:szCs w:val="32"/>
        </w:rPr>
        <w:t>个，累计</w:t>
      </w:r>
      <w:r>
        <w:rPr>
          <w:rFonts w:ascii="宋体" w:hAnsi="宋体" w:eastAsia="宋体" w:cs="宋体"/>
          <w:sz w:val="32"/>
          <w:szCs w:val="32"/>
        </w:rPr>
        <w:t>0</w:t>
      </w:r>
      <w:r>
        <w:rPr>
          <w:rFonts w:hint="eastAsia" w:ascii="宋体" w:hAnsi="宋体" w:eastAsia="宋体" w:cs="宋体"/>
          <w:sz w:val="32"/>
          <w:szCs w:val="32"/>
        </w:rPr>
        <w:t>人次</w:t>
      </w:r>
      <w:r>
        <w:rPr>
          <w:rFonts w:ascii="宋体" w:hAnsi="宋体" w:eastAsia="宋体" w:cs="宋体"/>
          <w:sz w:val="32"/>
          <w:szCs w:val="32"/>
        </w:rPr>
        <w:t>,</w:t>
      </w:r>
      <w:r>
        <w:rPr>
          <w:rFonts w:hint="eastAsia" w:ascii="宋体" w:hAnsi="宋体" w:eastAsia="宋体" w:cs="宋体"/>
          <w:sz w:val="32"/>
          <w:szCs w:val="32"/>
        </w:rPr>
        <w:t>开支内容无。</w:t>
      </w:r>
    </w:p>
    <w:p>
      <w:pPr>
        <w:pStyle w:val="15"/>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w:t>
      </w:r>
      <w:r>
        <w:rPr>
          <w:rFonts w:ascii="宋体" w:hAnsi="宋体" w:eastAsia="宋体" w:cs="宋体"/>
          <w:sz w:val="32"/>
          <w:szCs w:val="32"/>
        </w:rPr>
        <w:t>10.28</w:t>
      </w:r>
      <w:r>
        <w:rPr>
          <w:rFonts w:hint="eastAsia" w:ascii="宋体" w:hAnsi="宋体" w:eastAsia="宋体" w:cs="宋体"/>
          <w:sz w:val="32"/>
          <w:szCs w:val="32"/>
        </w:rPr>
        <w:t>万元，全年共接待来访团组</w:t>
      </w:r>
      <w:r>
        <w:rPr>
          <w:rFonts w:ascii="宋体" w:hAnsi="宋体" w:eastAsia="宋体" w:cs="宋体"/>
          <w:sz w:val="32"/>
          <w:szCs w:val="32"/>
        </w:rPr>
        <w:t>128</w:t>
      </w:r>
      <w:r>
        <w:rPr>
          <w:rFonts w:hint="eastAsia" w:ascii="宋体" w:hAnsi="宋体" w:eastAsia="宋体" w:cs="宋体"/>
          <w:sz w:val="32"/>
          <w:szCs w:val="32"/>
        </w:rPr>
        <w:t>个、来宾</w:t>
      </w:r>
      <w:r>
        <w:rPr>
          <w:rFonts w:ascii="宋体" w:hAnsi="宋体" w:eastAsia="宋体" w:cs="宋体"/>
          <w:sz w:val="32"/>
          <w:szCs w:val="32"/>
        </w:rPr>
        <w:t>968</w:t>
      </w:r>
      <w:r>
        <w:rPr>
          <w:rFonts w:hint="eastAsia" w:ascii="宋体" w:hAnsi="宋体" w:eastAsia="宋体" w:cs="宋体"/>
          <w:sz w:val="32"/>
          <w:szCs w:val="32"/>
        </w:rPr>
        <w:t>人次，主要是接待上级检察机关、周边县市检察机关和相关部门交流工作和协办案件等发生的接待支出。</w:t>
      </w:r>
    </w:p>
    <w:p>
      <w:pPr>
        <w:ind w:firstLine="800"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w:t>
      </w:r>
      <w:r>
        <w:rPr>
          <w:rFonts w:ascii="宋体" w:hAnsi="宋体" w:cs="宋体"/>
          <w:sz w:val="32"/>
          <w:szCs w:val="32"/>
        </w:rPr>
        <w:t>45</w:t>
      </w:r>
      <w:r>
        <w:rPr>
          <w:rFonts w:hint="eastAsia" w:ascii="宋体" w:hAnsi="宋体" w:cs="宋体"/>
          <w:sz w:val="32"/>
          <w:szCs w:val="32"/>
        </w:rPr>
        <w:t>万元，其中：公务用车购置费</w:t>
      </w:r>
      <w:r>
        <w:rPr>
          <w:rFonts w:ascii="宋体" w:hAnsi="宋体" w:cs="宋体"/>
          <w:sz w:val="32"/>
          <w:szCs w:val="32"/>
        </w:rPr>
        <w:t>14.09</w:t>
      </w:r>
      <w:r>
        <w:rPr>
          <w:rFonts w:hint="eastAsia" w:ascii="宋体" w:hAnsi="宋体" w:cs="宋体"/>
          <w:sz w:val="32"/>
          <w:szCs w:val="32"/>
        </w:rPr>
        <w:t>万元，更新公务用车</w:t>
      </w:r>
      <w:r>
        <w:rPr>
          <w:rFonts w:ascii="宋体" w:hAnsi="宋体" w:cs="宋体"/>
          <w:sz w:val="32"/>
          <w:szCs w:val="32"/>
        </w:rPr>
        <w:t>1</w:t>
      </w:r>
      <w:r>
        <w:rPr>
          <w:rFonts w:hint="eastAsia" w:ascii="宋体" w:hAnsi="宋体" w:cs="宋体"/>
          <w:sz w:val="32"/>
          <w:szCs w:val="32"/>
        </w:rPr>
        <w:t>辆</w:t>
      </w:r>
      <w:r>
        <w:rPr>
          <w:rFonts w:hint="eastAsia" w:ascii="宋体" w:hAnsi="宋体" w:cs="宋体"/>
          <w:color w:val="000000"/>
          <w:sz w:val="32"/>
          <w:szCs w:val="32"/>
        </w:rPr>
        <w:t>。</w:t>
      </w:r>
      <w:r>
        <w:rPr>
          <w:rFonts w:hint="eastAsia" w:ascii="宋体" w:hAnsi="宋体" w:cs="宋体"/>
          <w:sz w:val="32"/>
          <w:szCs w:val="32"/>
        </w:rPr>
        <w:t>公务用车运行维护费</w:t>
      </w:r>
      <w:r>
        <w:rPr>
          <w:rFonts w:ascii="宋体" w:hAnsi="宋体" w:cs="宋体"/>
          <w:sz w:val="32"/>
          <w:szCs w:val="32"/>
        </w:rPr>
        <w:t>30.91</w:t>
      </w:r>
      <w:r>
        <w:rPr>
          <w:rFonts w:hint="eastAsia" w:ascii="宋体" w:hAnsi="宋体" w:cs="宋体"/>
          <w:sz w:val="32"/>
          <w:szCs w:val="32"/>
        </w:rPr>
        <w:t>万元，主要是用于机要通信、执法执勤等所霜公务车辆的燃料费、维修费、过路过桥费、年审费和保险费等支出，截止</w:t>
      </w:r>
      <w:r>
        <w:rPr>
          <w:rFonts w:ascii="宋体" w:hAnsi="宋体" w:cs="宋体"/>
          <w:sz w:val="32"/>
          <w:szCs w:val="32"/>
        </w:rPr>
        <w:t>2020</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w:t>
      </w:r>
      <w:r>
        <w:rPr>
          <w:rFonts w:ascii="宋体" w:hAnsi="宋体" w:cs="宋体"/>
          <w:sz w:val="32"/>
          <w:szCs w:val="32"/>
        </w:rPr>
        <w:t>6</w:t>
      </w:r>
      <w:r>
        <w:rPr>
          <w:rFonts w:hint="eastAsia" w:ascii="宋体" w:hAnsi="宋体" w:cs="宋体"/>
          <w:sz w:val="32"/>
          <w:szCs w:val="32"/>
        </w:rPr>
        <w:t>辆。</w:t>
      </w:r>
    </w:p>
    <w:p>
      <w:pPr>
        <w:pStyle w:val="15"/>
        <w:rPr>
          <w:rFonts w:hAnsi="黑体" w:cs="Times New Roman"/>
          <w:b/>
          <w:bCs/>
          <w:sz w:val="32"/>
          <w:szCs w:val="32"/>
        </w:rPr>
      </w:pPr>
      <w:r>
        <w:rPr>
          <w:rFonts w:hint="eastAsia" w:hAnsi="黑体"/>
          <w:b/>
          <w:bCs/>
          <w:sz w:val="32"/>
          <w:szCs w:val="32"/>
        </w:rPr>
        <w:t>八、政府性基金预算收入支出决算情况</w:t>
      </w:r>
    </w:p>
    <w:p>
      <w:pPr>
        <w:pStyle w:val="15"/>
        <w:rPr>
          <w:rFonts w:ascii="宋体" w:hAnsi="宋体" w:eastAsia="宋体" w:cs="Times New Roman"/>
          <w:i/>
          <w:iCs/>
          <w:color w:val="FF0000"/>
          <w:sz w:val="32"/>
          <w:szCs w:val="32"/>
        </w:rPr>
      </w:pPr>
      <w:r>
        <w:rPr>
          <w:rFonts w:ascii="宋体" w:hAnsi="宋体" w:eastAsia="宋体" w:cs="宋体"/>
          <w:sz w:val="32"/>
          <w:szCs w:val="32"/>
        </w:rPr>
        <w:t xml:space="preserve">     2020</w:t>
      </w:r>
      <w:r>
        <w:rPr>
          <w:rFonts w:hint="eastAsia" w:ascii="宋体" w:hAnsi="宋体" w:eastAsia="宋体" w:cs="宋体"/>
          <w:sz w:val="32"/>
          <w:szCs w:val="32"/>
        </w:rPr>
        <w:t>年度本单位无政府性基金收支。</w:t>
      </w:r>
    </w:p>
    <w:p>
      <w:pPr>
        <w:pStyle w:val="15"/>
        <w:rPr>
          <w:rFonts w:hAnsi="黑体" w:cs="Times New Roman"/>
          <w:b/>
          <w:bCs/>
          <w:sz w:val="32"/>
          <w:szCs w:val="32"/>
        </w:rPr>
      </w:pPr>
      <w:r>
        <w:rPr>
          <w:rFonts w:hint="eastAsia" w:hAnsi="黑体"/>
          <w:b/>
          <w:bCs/>
          <w:sz w:val="32"/>
          <w:szCs w:val="32"/>
        </w:rPr>
        <w:t>九、关于机关运行经费支出说明</w:t>
      </w:r>
    </w:p>
    <w:p>
      <w:pPr>
        <w:pStyle w:val="15"/>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2020</w:t>
      </w:r>
      <w:r>
        <w:rPr>
          <w:rFonts w:hint="eastAsia" w:ascii="宋体" w:hAnsi="宋体" w:eastAsia="宋体" w:cs="宋体"/>
          <w:sz w:val="32"/>
          <w:szCs w:val="32"/>
        </w:rPr>
        <w:t>年度机关运行经费支出</w:t>
      </w:r>
      <w:r>
        <w:rPr>
          <w:rFonts w:ascii="宋体" w:hAnsi="宋体" w:eastAsia="宋体" w:cs="宋体"/>
          <w:sz w:val="32"/>
          <w:szCs w:val="32"/>
        </w:rPr>
        <w:t>453.97</w:t>
      </w:r>
      <w:r>
        <w:rPr>
          <w:rFonts w:hint="eastAsia" w:ascii="宋体" w:hAnsi="宋体" w:eastAsia="宋体" w:cs="宋体"/>
          <w:sz w:val="32"/>
          <w:szCs w:val="32"/>
        </w:rPr>
        <w:t>万元，比上年</w:t>
      </w:r>
      <w:r>
        <w:rPr>
          <w:rFonts w:ascii="宋体" w:hAnsi="宋体" w:eastAsia="宋体" w:cs="宋体"/>
          <w:sz w:val="32"/>
          <w:szCs w:val="32"/>
        </w:rPr>
        <w:t>446.69</w:t>
      </w:r>
      <w:r>
        <w:rPr>
          <w:rFonts w:hint="eastAsia" w:ascii="宋体" w:hAnsi="宋体" w:eastAsia="宋体" w:cs="宋体"/>
          <w:sz w:val="32"/>
          <w:szCs w:val="32"/>
        </w:rPr>
        <w:t>增加</w:t>
      </w:r>
      <w:r>
        <w:rPr>
          <w:rFonts w:ascii="宋体" w:hAnsi="宋体" w:eastAsia="宋体" w:cs="宋体"/>
          <w:sz w:val="32"/>
          <w:szCs w:val="32"/>
        </w:rPr>
        <w:t>7.28</w:t>
      </w:r>
      <w:r>
        <w:rPr>
          <w:rFonts w:hint="eastAsia" w:ascii="宋体" w:hAnsi="宋体" w:eastAsia="宋体" w:cs="宋体"/>
          <w:sz w:val="32"/>
          <w:szCs w:val="32"/>
        </w:rPr>
        <w:t>万元，增长</w:t>
      </w:r>
      <w:r>
        <w:rPr>
          <w:rFonts w:ascii="宋体" w:hAnsi="宋体" w:eastAsia="宋体" w:cs="宋体"/>
          <w:sz w:val="32"/>
          <w:szCs w:val="32"/>
        </w:rPr>
        <w:t>1.6%</w:t>
      </w:r>
      <w:r>
        <w:rPr>
          <w:rFonts w:hint="eastAsia" w:ascii="宋体" w:hAnsi="宋体" w:eastAsia="宋体" w:cs="宋体"/>
          <w:sz w:val="32"/>
          <w:szCs w:val="32"/>
        </w:rPr>
        <w:t>。主要原因是：因办案需要导致印刷费、租赁费增加。</w:t>
      </w:r>
    </w:p>
    <w:p>
      <w:pPr>
        <w:pStyle w:val="15"/>
        <w:rPr>
          <w:rFonts w:hAnsi="黑体" w:cs="Times New Roman"/>
          <w:b/>
          <w:bCs/>
          <w:sz w:val="32"/>
          <w:szCs w:val="32"/>
        </w:rPr>
      </w:pPr>
      <w:r>
        <w:rPr>
          <w:rFonts w:hint="eastAsia" w:hAnsi="黑体"/>
          <w:b/>
          <w:bCs/>
          <w:sz w:val="32"/>
          <w:szCs w:val="32"/>
        </w:rPr>
        <w:t>十、一般性支出情况</w:t>
      </w:r>
    </w:p>
    <w:p>
      <w:pPr>
        <w:pStyle w:val="15"/>
        <w:ind w:firstLine="640" w:firstLineChars="200"/>
        <w:rPr>
          <w:rFonts w:hint="default" w:ascii="宋体" w:hAnsi="宋体" w:eastAsia="宋体" w:cs="Times New Roman"/>
          <w:sz w:val="32"/>
          <w:szCs w:val="32"/>
          <w:lang w:val="en-US" w:eastAsia="zh-CN"/>
        </w:rPr>
      </w:pPr>
      <w:r>
        <w:rPr>
          <w:rFonts w:ascii="宋体" w:hAnsi="宋体" w:eastAsia="宋体" w:cs="宋体"/>
          <w:sz w:val="32"/>
          <w:szCs w:val="32"/>
        </w:rPr>
        <w:t>2020</w:t>
      </w:r>
      <w:r>
        <w:rPr>
          <w:rFonts w:hint="eastAsia" w:ascii="宋体" w:hAnsi="宋体" w:eastAsia="宋体" w:cs="宋体"/>
          <w:sz w:val="32"/>
          <w:szCs w:val="32"/>
        </w:rPr>
        <w:t>年本部门开支会议费</w:t>
      </w:r>
      <w:r>
        <w:rPr>
          <w:rFonts w:ascii="宋体" w:hAnsi="宋体" w:eastAsia="宋体" w:cs="宋体"/>
          <w:sz w:val="32"/>
          <w:szCs w:val="32"/>
        </w:rPr>
        <w:t>1.88</w:t>
      </w:r>
      <w:r>
        <w:rPr>
          <w:rFonts w:hint="eastAsia" w:ascii="宋体" w:hAnsi="宋体" w:eastAsia="宋体" w:cs="宋体"/>
          <w:sz w:val="32"/>
          <w:szCs w:val="32"/>
        </w:rPr>
        <w:t>万元，用于召开</w:t>
      </w:r>
      <w:r>
        <w:rPr>
          <w:rFonts w:ascii="宋体" w:hAnsi="宋体" w:eastAsia="宋体" w:cs="宋体"/>
          <w:sz w:val="32"/>
          <w:szCs w:val="32"/>
        </w:rPr>
        <w:t>3.27</w:t>
      </w:r>
      <w:r>
        <w:rPr>
          <w:rFonts w:hint="eastAsia" w:ascii="宋体" w:hAnsi="宋体" w:eastAsia="宋体" w:cs="宋体"/>
          <w:sz w:val="32"/>
          <w:szCs w:val="32"/>
        </w:rPr>
        <w:t>专案讨论听审会议。</w:t>
      </w:r>
      <w:r>
        <w:rPr>
          <w:rFonts w:hint="eastAsia" w:ascii="宋体" w:hAnsi="宋体" w:eastAsia="宋体" w:cs="宋体"/>
          <w:sz w:val="32"/>
          <w:szCs w:val="32"/>
          <w:lang w:eastAsia="zh-CN"/>
        </w:rPr>
        <w:t>举办</w:t>
      </w:r>
      <w:r>
        <w:rPr>
          <w:rFonts w:hint="eastAsia" w:ascii="宋体" w:hAnsi="宋体" w:eastAsia="宋体" w:cs="宋体"/>
          <w:sz w:val="32"/>
          <w:szCs w:val="32"/>
        </w:rPr>
        <w:t>培训活动</w:t>
      </w:r>
      <w:r>
        <w:rPr>
          <w:rFonts w:hint="eastAsia" w:ascii="宋体" w:hAnsi="宋体" w:eastAsia="宋体" w:cs="宋体"/>
          <w:sz w:val="32"/>
          <w:szCs w:val="32"/>
          <w:lang w:eastAsia="zh-CN"/>
        </w:rPr>
        <w:t>、</w:t>
      </w:r>
      <w:r>
        <w:rPr>
          <w:rFonts w:hint="eastAsia" w:ascii="宋体" w:hAnsi="宋体" w:eastAsia="宋体" w:cs="宋体"/>
          <w:sz w:val="32"/>
          <w:szCs w:val="32"/>
        </w:rPr>
        <w:t>节庆、晚会、论坛、赛事等活动，</w:t>
      </w:r>
      <w:r>
        <w:rPr>
          <w:rFonts w:hint="eastAsia" w:ascii="宋体" w:hAnsi="宋体" w:eastAsia="宋体" w:cs="宋体"/>
          <w:sz w:val="32"/>
          <w:szCs w:val="32"/>
          <w:lang w:eastAsia="zh-CN"/>
        </w:rPr>
        <w:t>开支</w:t>
      </w:r>
      <w:r>
        <w:rPr>
          <w:rFonts w:hint="eastAsia" w:ascii="宋体" w:hAnsi="宋体" w:eastAsia="宋体" w:cs="宋体"/>
          <w:sz w:val="32"/>
          <w:szCs w:val="32"/>
          <w:lang w:val="en-US" w:eastAsia="zh-CN"/>
        </w:rPr>
        <w:t>0万元。</w:t>
      </w:r>
    </w:p>
    <w:p>
      <w:pPr>
        <w:pStyle w:val="15"/>
        <w:rPr>
          <w:rFonts w:hAnsi="黑体" w:cs="Times New Roman"/>
          <w:b/>
          <w:bCs/>
          <w:sz w:val="32"/>
          <w:szCs w:val="32"/>
        </w:rPr>
      </w:pPr>
      <w:r>
        <w:rPr>
          <w:rFonts w:hint="eastAsia" w:hAnsi="黑体"/>
          <w:b/>
          <w:bCs/>
          <w:sz w:val="32"/>
          <w:szCs w:val="32"/>
        </w:rPr>
        <w:t>十一、关于政府采购支出说明</w:t>
      </w:r>
    </w:p>
    <w:p>
      <w:pPr>
        <w:pStyle w:val="15"/>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2020</w:t>
      </w:r>
      <w:r>
        <w:rPr>
          <w:rFonts w:hint="eastAsia" w:ascii="宋体" w:hAnsi="宋体" w:eastAsia="宋体" w:cs="宋体"/>
          <w:sz w:val="32"/>
          <w:szCs w:val="32"/>
        </w:rPr>
        <w:t>年度政府采购支出总额</w:t>
      </w:r>
      <w:r>
        <w:rPr>
          <w:rFonts w:ascii="宋体" w:hAnsi="宋体" w:eastAsia="宋体" w:cs="宋体"/>
          <w:sz w:val="32"/>
          <w:szCs w:val="32"/>
        </w:rPr>
        <w:t>0</w:t>
      </w:r>
      <w:r>
        <w:rPr>
          <w:rFonts w:hint="eastAsia" w:ascii="宋体" w:hAnsi="宋体" w:eastAsia="宋体" w:cs="宋体"/>
          <w:sz w:val="32"/>
          <w:szCs w:val="32"/>
        </w:rPr>
        <w:t>万元。</w:t>
      </w:r>
      <w:r>
        <w:rPr>
          <w:rFonts w:hint="eastAsia" w:asciiTheme="minorEastAsia" w:hAnsiTheme="minorEastAsia" w:eastAsiaTheme="minorEastAsia"/>
          <w:sz w:val="32"/>
          <w:szCs w:val="32"/>
        </w:rPr>
        <w:t>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5"/>
        <w:rPr>
          <w:rFonts w:hAnsi="黑体" w:cs="Times New Roman"/>
          <w:b/>
          <w:bCs/>
          <w:sz w:val="32"/>
          <w:szCs w:val="32"/>
        </w:rPr>
      </w:pPr>
      <w:r>
        <w:rPr>
          <w:rFonts w:hint="eastAsia" w:hAnsi="黑体"/>
          <w:b/>
          <w:bCs/>
          <w:sz w:val="32"/>
          <w:szCs w:val="32"/>
        </w:rPr>
        <w:t>十二、关于国有资产占用情况说明</w:t>
      </w:r>
    </w:p>
    <w:p>
      <w:pPr>
        <w:pStyle w:val="15"/>
        <w:ind w:firstLine="640" w:firstLineChars="200"/>
        <w:rPr>
          <w:rFonts w:ascii="宋体" w:hAnsi="宋体" w:eastAsia="宋体" w:cs="Times New Roman"/>
          <w:sz w:val="32"/>
          <w:szCs w:val="32"/>
        </w:rPr>
      </w:pPr>
      <w:r>
        <w:rPr>
          <w:rFonts w:hint="eastAsia" w:ascii="宋体" w:hAnsi="宋体" w:eastAsia="宋体" w:cs="宋体"/>
          <w:sz w:val="32"/>
          <w:szCs w:val="32"/>
        </w:rPr>
        <w:t>截至</w:t>
      </w:r>
      <w:r>
        <w:rPr>
          <w:rFonts w:ascii="宋体" w:hAnsi="宋体" w:eastAsia="宋体" w:cs="宋体"/>
          <w:sz w:val="32"/>
          <w:szCs w:val="32"/>
        </w:rPr>
        <w:t>2020</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日，本单位共有车辆</w:t>
      </w:r>
      <w:r>
        <w:rPr>
          <w:rFonts w:ascii="宋体" w:hAnsi="宋体" w:eastAsia="宋体" w:cs="宋体"/>
          <w:sz w:val="32"/>
          <w:szCs w:val="32"/>
        </w:rPr>
        <w:t>6</w:t>
      </w:r>
      <w:r>
        <w:rPr>
          <w:rFonts w:hint="eastAsia" w:ascii="宋体" w:hAnsi="宋体" w:eastAsia="宋体" w:cs="宋体"/>
          <w:sz w:val="32"/>
          <w:szCs w:val="32"/>
        </w:rPr>
        <w:t>辆，其中，主要领导干部用车</w:t>
      </w:r>
      <w:r>
        <w:rPr>
          <w:rFonts w:ascii="宋体" w:hAnsi="宋体" w:eastAsia="宋体" w:cs="宋体"/>
          <w:sz w:val="32"/>
          <w:szCs w:val="32"/>
        </w:rPr>
        <w:t>0</w:t>
      </w:r>
      <w:r>
        <w:rPr>
          <w:rFonts w:hint="eastAsia" w:ascii="宋体" w:hAnsi="宋体" w:eastAsia="宋体" w:cs="宋体"/>
          <w:sz w:val="32"/>
          <w:szCs w:val="32"/>
        </w:rPr>
        <w:t>辆，机要通信用车</w:t>
      </w:r>
      <w:r>
        <w:rPr>
          <w:rFonts w:ascii="宋体" w:hAnsi="宋体" w:eastAsia="宋体" w:cs="宋体"/>
          <w:sz w:val="32"/>
          <w:szCs w:val="32"/>
        </w:rPr>
        <w:t>1</w:t>
      </w:r>
      <w:r>
        <w:rPr>
          <w:rFonts w:hint="eastAsia" w:ascii="宋体" w:hAnsi="宋体" w:eastAsia="宋体" w:cs="宋体"/>
          <w:sz w:val="32"/>
          <w:szCs w:val="32"/>
        </w:rPr>
        <w:t>辆、应急保障用车</w:t>
      </w:r>
      <w:r>
        <w:rPr>
          <w:rFonts w:ascii="宋体" w:hAnsi="宋体" w:eastAsia="宋体" w:cs="宋体"/>
          <w:sz w:val="32"/>
          <w:szCs w:val="32"/>
        </w:rPr>
        <w:t>0</w:t>
      </w:r>
      <w:r>
        <w:rPr>
          <w:rFonts w:hint="eastAsia" w:ascii="宋体" w:hAnsi="宋体" w:eastAsia="宋体" w:cs="宋体"/>
          <w:sz w:val="32"/>
          <w:szCs w:val="32"/>
        </w:rPr>
        <w:t>辆、执法执勤用车</w:t>
      </w:r>
      <w:r>
        <w:rPr>
          <w:rFonts w:ascii="宋体" w:hAnsi="宋体" w:eastAsia="宋体" w:cs="宋体"/>
          <w:sz w:val="32"/>
          <w:szCs w:val="32"/>
        </w:rPr>
        <w:t>5</w:t>
      </w:r>
      <w:r>
        <w:rPr>
          <w:rFonts w:hint="eastAsia" w:ascii="宋体" w:hAnsi="宋体" w:eastAsia="宋体" w:cs="宋体"/>
          <w:sz w:val="32"/>
          <w:szCs w:val="32"/>
        </w:rPr>
        <w:t>辆、特种专业技术用车</w:t>
      </w:r>
      <w:r>
        <w:rPr>
          <w:rFonts w:ascii="宋体" w:hAnsi="宋体" w:eastAsia="宋体" w:cs="宋体"/>
          <w:sz w:val="32"/>
          <w:szCs w:val="32"/>
        </w:rPr>
        <w:t>0</w:t>
      </w:r>
      <w:r>
        <w:rPr>
          <w:rFonts w:hint="eastAsia" w:ascii="宋体" w:hAnsi="宋体" w:eastAsia="宋体" w:cs="宋体"/>
          <w:sz w:val="32"/>
          <w:szCs w:val="32"/>
        </w:rPr>
        <w:t>辆、其他用车</w:t>
      </w:r>
      <w:r>
        <w:rPr>
          <w:rFonts w:ascii="宋体" w:hAnsi="宋体" w:eastAsia="宋体" w:cs="宋体"/>
          <w:sz w:val="32"/>
          <w:szCs w:val="32"/>
        </w:rPr>
        <w:t>0</w:t>
      </w:r>
      <w:r>
        <w:rPr>
          <w:rFonts w:hint="eastAsia" w:ascii="宋体" w:hAnsi="宋体" w:eastAsia="宋体" w:cs="宋体"/>
          <w:sz w:val="32"/>
          <w:szCs w:val="32"/>
        </w:rPr>
        <w:t>辆；单位价值</w:t>
      </w:r>
      <w:r>
        <w:rPr>
          <w:rFonts w:ascii="宋体" w:hAnsi="宋体" w:eastAsia="宋体" w:cs="宋体"/>
          <w:sz w:val="32"/>
          <w:szCs w:val="32"/>
        </w:rPr>
        <w:t>50</w:t>
      </w:r>
      <w:r>
        <w:rPr>
          <w:rFonts w:hint="eastAsia" w:ascii="宋体" w:hAnsi="宋体" w:eastAsia="宋体" w:cs="宋体"/>
          <w:sz w:val="32"/>
          <w:szCs w:val="32"/>
        </w:rPr>
        <w:t>万元以上通用设备</w:t>
      </w:r>
      <w:r>
        <w:rPr>
          <w:rFonts w:ascii="宋体" w:hAnsi="宋体" w:eastAsia="宋体" w:cs="宋体"/>
          <w:sz w:val="32"/>
          <w:szCs w:val="32"/>
        </w:rPr>
        <w:t>0</w:t>
      </w:r>
      <w:r>
        <w:rPr>
          <w:rFonts w:hint="eastAsia" w:ascii="宋体" w:hAnsi="宋体" w:eastAsia="宋体" w:cs="宋体"/>
          <w:sz w:val="32"/>
          <w:szCs w:val="32"/>
        </w:rPr>
        <w:t>台（套）；单位价值</w:t>
      </w:r>
      <w:r>
        <w:rPr>
          <w:rFonts w:ascii="宋体" w:hAnsi="宋体" w:eastAsia="宋体" w:cs="宋体"/>
          <w:sz w:val="32"/>
          <w:szCs w:val="32"/>
        </w:rPr>
        <w:t>100</w:t>
      </w:r>
      <w:r>
        <w:rPr>
          <w:rFonts w:hint="eastAsia" w:ascii="宋体" w:hAnsi="宋体" w:eastAsia="宋体" w:cs="宋体"/>
          <w:sz w:val="32"/>
          <w:szCs w:val="32"/>
        </w:rPr>
        <w:t>万元以上专用设备</w:t>
      </w:r>
      <w:r>
        <w:rPr>
          <w:rFonts w:ascii="宋体" w:hAnsi="宋体" w:eastAsia="宋体" w:cs="宋体"/>
          <w:sz w:val="32"/>
          <w:szCs w:val="32"/>
        </w:rPr>
        <w:t>0</w:t>
      </w:r>
      <w:r>
        <w:rPr>
          <w:rFonts w:hint="eastAsia" w:ascii="宋体" w:hAnsi="宋体" w:eastAsia="宋体" w:cs="宋体"/>
          <w:sz w:val="32"/>
          <w:szCs w:val="32"/>
        </w:rPr>
        <w:t>台（套）。</w:t>
      </w:r>
    </w:p>
    <w:p>
      <w:pPr>
        <w:pStyle w:val="15"/>
        <w:rPr>
          <w:rFonts w:hAnsi="黑体" w:cs="Times New Roman"/>
          <w:b/>
          <w:bCs/>
          <w:sz w:val="32"/>
          <w:szCs w:val="32"/>
        </w:rPr>
      </w:pPr>
      <w:r>
        <w:rPr>
          <w:rFonts w:hint="eastAsia" w:hAnsi="黑体"/>
          <w:b/>
          <w:bCs/>
          <w:sz w:val="32"/>
          <w:szCs w:val="32"/>
        </w:rPr>
        <w:t>十三、关于</w:t>
      </w:r>
      <w:r>
        <w:rPr>
          <w:rFonts w:hAnsi="黑体"/>
          <w:b/>
          <w:bCs/>
          <w:sz w:val="32"/>
          <w:szCs w:val="32"/>
        </w:rPr>
        <w:t>2020</w:t>
      </w:r>
      <w:r>
        <w:rPr>
          <w:rFonts w:hint="eastAsia" w:hAnsi="黑体"/>
          <w:b/>
          <w:bCs/>
          <w:sz w:val="32"/>
          <w:szCs w:val="32"/>
        </w:rPr>
        <w:t>年度预算绩效情况的说明</w:t>
      </w:r>
    </w:p>
    <w:p>
      <w:pPr>
        <w:ind w:firstLine="585"/>
        <w:jc w:val="left"/>
        <w:rPr>
          <w:rFonts w:cs="Times New Roman"/>
          <w:sz w:val="30"/>
          <w:szCs w:val="30"/>
        </w:rPr>
      </w:pPr>
      <w:r>
        <w:rPr>
          <w:sz w:val="30"/>
          <w:szCs w:val="30"/>
        </w:rPr>
        <w:t>2020</w:t>
      </w:r>
      <w:r>
        <w:rPr>
          <w:rFonts w:hint="eastAsia" w:cs="宋体"/>
          <w:sz w:val="30"/>
          <w:szCs w:val="30"/>
        </w:rPr>
        <w:t>年，我院围绕中心大局，倾力服务经济社会发展。一是深入推进扫黑除恶专项斗争。全年办理涉黑涉恶案件</w:t>
      </w:r>
      <w:r>
        <w:rPr>
          <w:sz w:val="30"/>
          <w:szCs w:val="30"/>
        </w:rPr>
        <w:t>22</w:t>
      </w:r>
      <w:r>
        <w:rPr>
          <w:rFonts w:hint="eastAsia" w:cs="宋体"/>
          <w:sz w:val="30"/>
          <w:szCs w:val="30"/>
        </w:rPr>
        <w:t>件</w:t>
      </w:r>
      <w:r>
        <w:rPr>
          <w:sz w:val="30"/>
          <w:szCs w:val="30"/>
        </w:rPr>
        <w:t>87</w:t>
      </w:r>
      <w:r>
        <w:rPr>
          <w:rFonts w:hint="eastAsia" w:cs="宋体"/>
          <w:sz w:val="30"/>
          <w:szCs w:val="30"/>
        </w:rPr>
        <w:t>人。二是创优营商环境。三是服务保障打赢三大攻坚战。依法严惩非法集资等扰乱和破坏市场经济秩序的刑事犯罪，受理非法吸收公众存款、电信网络诈骗、强迫交易、敲诈勒索等破坏市场经济秩序案件</w:t>
      </w:r>
      <w:r>
        <w:rPr>
          <w:sz w:val="30"/>
          <w:szCs w:val="30"/>
        </w:rPr>
        <w:t>22</w:t>
      </w:r>
      <w:r>
        <w:rPr>
          <w:rFonts w:hint="eastAsia" w:cs="宋体"/>
          <w:sz w:val="30"/>
          <w:szCs w:val="30"/>
        </w:rPr>
        <w:t>件</w:t>
      </w:r>
      <w:r>
        <w:rPr>
          <w:sz w:val="30"/>
          <w:szCs w:val="30"/>
        </w:rPr>
        <w:t>105</w:t>
      </w:r>
      <w:r>
        <w:rPr>
          <w:rFonts w:hint="eastAsia" w:cs="宋体"/>
          <w:sz w:val="30"/>
          <w:szCs w:val="30"/>
        </w:rPr>
        <w:t>人。以法治力量守护资江“一江碧水”，加大对非法捕捞水产品行为的打击力度，受理审查起诉非法捕捞水产品案件</w:t>
      </w:r>
      <w:r>
        <w:rPr>
          <w:sz w:val="30"/>
          <w:szCs w:val="30"/>
        </w:rPr>
        <w:t>17</w:t>
      </w:r>
      <w:r>
        <w:rPr>
          <w:rFonts w:hint="eastAsia" w:cs="宋体"/>
          <w:sz w:val="30"/>
          <w:szCs w:val="30"/>
        </w:rPr>
        <w:t>件</w:t>
      </w:r>
      <w:r>
        <w:rPr>
          <w:sz w:val="30"/>
          <w:szCs w:val="30"/>
        </w:rPr>
        <w:t>20</w:t>
      </w:r>
      <w:r>
        <w:rPr>
          <w:rFonts w:hint="eastAsia" w:cs="宋体"/>
          <w:sz w:val="30"/>
          <w:szCs w:val="30"/>
        </w:rPr>
        <w:t>人，起诉</w:t>
      </w:r>
      <w:r>
        <w:rPr>
          <w:sz w:val="30"/>
          <w:szCs w:val="30"/>
        </w:rPr>
        <w:t>10</w:t>
      </w:r>
      <w:r>
        <w:rPr>
          <w:rFonts w:hint="eastAsia" w:cs="宋体"/>
          <w:sz w:val="30"/>
          <w:szCs w:val="30"/>
        </w:rPr>
        <w:t>件</w:t>
      </w:r>
      <w:r>
        <w:rPr>
          <w:sz w:val="30"/>
          <w:szCs w:val="30"/>
        </w:rPr>
        <w:t>13</w:t>
      </w:r>
      <w:r>
        <w:rPr>
          <w:rFonts w:hint="eastAsia" w:cs="宋体"/>
          <w:sz w:val="30"/>
          <w:szCs w:val="30"/>
        </w:rPr>
        <w:t>人。</w:t>
      </w:r>
    </w:p>
    <w:p>
      <w:pPr>
        <w:ind w:firstLine="585"/>
        <w:jc w:val="left"/>
        <w:rPr>
          <w:rFonts w:cs="Times New Roman"/>
          <w:sz w:val="30"/>
          <w:szCs w:val="30"/>
        </w:rPr>
      </w:pPr>
      <w:r>
        <w:rPr>
          <w:rFonts w:hint="eastAsia" w:cs="宋体"/>
          <w:sz w:val="30"/>
          <w:szCs w:val="30"/>
        </w:rPr>
        <w:t>秉持司法公正，全力履行法律监督主责主业。坚决依法打击刑事犯罪，受理审查逮捕案件</w:t>
      </w:r>
      <w:r>
        <w:rPr>
          <w:sz w:val="30"/>
          <w:szCs w:val="30"/>
        </w:rPr>
        <w:t>186</w:t>
      </w:r>
      <w:r>
        <w:rPr>
          <w:rFonts w:hint="eastAsia" w:cs="宋体"/>
          <w:sz w:val="30"/>
          <w:szCs w:val="30"/>
        </w:rPr>
        <w:t>件</w:t>
      </w:r>
      <w:r>
        <w:rPr>
          <w:sz w:val="30"/>
          <w:szCs w:val="30"/>
        </w:rPr>
        <w:t>276</w:t>
      </w:r>
      <w:r>
        <w:rPr>
          <w:rFonts w:hint="eastAsia" w:cs="宋体"/>
          <w:sz w:val="30"/>
          <w:szCs w:val="30"/>
        </w:rPr>
        <w:t>人，受理移送审查起诉案件</w:t>
      </w:r>
      <w:r>
        <w:rPr>
          <w:sz w:val="30"/>
          <w:szCs w:val="30"/>
        </w:rPr>
        <w:t>382</w:t>
      </w:r>
      <w:r>
        <w:rPr>
          <w:rFonts w:hint="eastAsia" w:cs="宋体"/>
          <w:sz w:val="30"/>
          <w:szCs w:val="30"/>
        </w:rPr>
        <w:t>件</w:t>
      </w:r>
      <w:r>
        <w:rPr>
          <w:sz w:val="30"/>
          <w:szCs w:val="30"/>
        </w:rPr>
        <w:t>645</w:t>
      </w:r>
      <w:r>
        <w:rPr>
          <w:rFonts w:hint="eastAsia" w:cs="宋体"/>
          <w:sz w:val="30"/>
          <w:szCs w:val="30"/>
        </w:rPr>
        <w:t>人。加强刑事诉讼侦查监督，办理不起诉复议案件</w:t>
      </w:r>
      <w:r>
        <w:rPr>
          <w:sz w:val="30"/>
          <w:szCs w:val="30"/>
        </w:rPr>
        <w:t>1</w:t>
      </w:r>
      <w:r>
        <w:rPr>
          <w:rFonts w:hint="eastAsia" w:cs="宋体"/>
          <w:sz w:val="30"/>
          <w:szCs w:val="30"/>
        </w:rPr>
        <w:t>件；纠正漏补</w:t>
      </w:r>
      <w:r>
        <w:rPr>
          <w:sz w:val="30"/>
          <w:szCs w:val="30"/>
        </w:rPr>
        <w:t>1</w:t>
      </w:r>
      <w:r>
        <w:rPr>
          <w:rFonts w:hint="eastAsia" w:cs="宋体"/>
          <w:sz w:val="30"/>
          <w:szCs w:val="30"/>
        </w:rPr>
        <w:t>人，纠正漏罪</w:t>
      </w:r>
      <w:r>
        <w:rPr>
          <w:sz w:val="30"/>
          <w:szCs w:val="30"/>
        </w:rPr>
        <w:t>4</w:t>
      </w:r>
      <w:r>
        <w:rPr>
          <w:rFonts w:hint="eastAsia" w:cs="宋体"/>
          <w:sz w:val="30"/>
          <w:szCs w:val="30"/>
        </w:rPr>
        <w:t>人，纠正遗漏同案犯</w:t>
      </w:r>
      <w:r>
        <w:rPr>
          <w:sz w:val="30"/>
          <w:szCs w:val="30"/>
        </w:rPr>
        <w:t>7</w:t>
      </w:r>
      <w:r>
        <w:rPr>
          <w:rFonts w:hint="eastAsia" w:cs="宋体"/>
          <w:sz w:val="30"/>
          <w:szCs w:val="30"/>
        </w:rPr>
        <w:t>人；发出纠正违法通知书</w:t>
      </w:r>
      <w:r>
        <w:rPr>
          <w:sz w:val="30"/>
          <w:szCs w:val="30"/>
        </w:rPr>
        <w:t>7</w:t>
      </w:r>
      <w:r>
        <w:rPr>
          <w:rFonts w:hint="eastAsia" w:cs="宋体"/>
          <w:sz w:val="30"/>
          <w:szCs w:val="30"/>
        </w:rPr>
        <w:t>份，监督立案</w:t>
      </w:r>
      <w:r>
        <w:rPr>
          <w:sz w:val="30"/>
          <w:szCs w:val="30"/>
        </w:rPr>
        <w:t>3</w:t>
      </w:r>
      <w:r>
        <w:rPr>
          <w:rFonts w:hint="eastAsia" w:cs="宋体"/>
          <w:sz w:val="30"/>
          <w:szCs w:val="30"/>
        </w:rPr>
        <w:t>件，监督撤案</w:t>
      </w:r>
      <w:r>
        <w:rPr>
          <w:sz w:val="30"/>
          <w:szCs w:val="30"/>
        </w:rPr>
        <w:t>5</w:t>
      </w:r>
      <w:r>
        <w:rPr>
          <w:rFonts w:hint="eastAsia" w:cs="宋体"/>
          <w:sz w:val="30"/>
          <w:szCs w:val="30"/>
        </w:rPr>
        <w:t>件；建议行政机关移送立案侦查</w:t>
      </w:r>
      <w:r>
        <w:rPr>
          <w:sz w:val="30"/>
          <w:szCs w:val="30"/>
        </w:rPr>
        <w:t>3</w:t>
      </w:r>
      <w:r>
        <w:rPr>
          <w:rFonts w:hint="eastAsia" w:cs="宋体"/>
          <w:sz w:val="30"/>
          <w:szCs w:val="30"/>
        </w:rPr>
        <w:t>件。</w:t>
      </w: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rPr>
          <w:rFonts w:cs="Times New Roman"/>
          <w:sz w:val="72"/>
          <w:szCs w:val="72"/>
        </w:rPr>
      </w:pPr>
    </w:p>
    <w:p>
      <w:pPr>
        <w:pStyle w:val="15"/>
        <w:jc w:val="center"/>
        <w:rPr>
          <w:rFonts w:hint="eastAsia"/>
          <w:sz w:val="72"/>
          <w:szCs w:val="72"/>
        </w:rPr>
      </w:pPr>
    </w:p>
    <w:p>
      <w:pPr>
        <w:pStyle w:val="15"/>
        <w:jc w:val="center"/>
        <w:rPr>
          <w:rFonts w:hint="eastAsia"/>
          <w:sz w:val="72"/>
          <w:szCs w:val="72"/>
        </w:rPr>
      </w:pPr>
    </w:p>
    <w:p>
      <w:pPr>
        <w:pStyle w:val="15"/>
        <w:jc w:val="both"/>
        <w:rPr>
          <w:rFonts w:hint="eastAsia"/>
          <w:sz w:val="72"/>
          <w:szCs w:val="72"/>
        </w:rPr>
      </w:pPr>
    </w:p>
    <w:p>
      <w:pPr>
        <w:pStyle w:val="15"/>
        <w:jc w:val="both"/>
        <w:rPr>
          <w:rFonts w:hint="eastAsia"/>
          <w:sz w:val="72"/>
          <w:szCs w:val="72"/>
        </w:rPr>
      </w:pPr>
    </w:p>
    <w:p>
      <w:pPr>
        <w:pStyle w:val="15"/>
        <w:jc w:val="both"/>
        <w:rPr>
          <w:rFonts w:hint="eastAsia"/>
          <w:sz w:val="72"/>
          <w:szCs w:val="72"/>
        </w:rPr>
      </w:pPr>
    </w:p>
    <w:p>
      <w:pPr>
        <w:pStyle w:val="15"/>
        <w:jc w:val="both"/>
        <w:rPr>
          <w:rFonts w:hint="eastAsia"/>
          <w:sz w:val="72"/>
          <w:szCs w:val="72"/>
        </w:rPr>
      </w:pPr>
    </w:p>
    <w:p>
      <w:pPr>
        <w:pStyle w:val="15"/>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pStyle w:val="2"/>
        <w:ind w:firstLine="640" w:firstLineChars="200"/>
        <w:rPr>
          <w:rFonts w:hint="eastAsia"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rPr>
          <w:rFonts w:hint="default" w:ascii="宋体" w:hAnsi="宋体" w:eastAsia="宋体" w:cs="宋体"/>
          <w:color w:val="000000"/>
          <w:kern w:val="0"/>
          <w:sz w:val="32"/>
          <w:szCs w:val="32"/>
          <w:lang w:val="en-US" w:eastAsia="zh-CN" w:bidi="ar-SA"/>
        </w:rPr>
      </w:pPr>
    </w:p>
    <w:p>
      <w:pPr>
        <w:pStyle w:val="15"/>
        <w:ind w:firstLine="640" w:firstLineChars="200"/>
        <w:rPr>
          <w:rFonts w:ascii="宋体" w:hAnsi="宋体" w:eastAsia="宋体"/>
          <w:sz w:val="32"/>
          <w:szCs w:val="32"/>
        </w:rPr>
      </w:pPr>
      <w:r>
        <w:rPr>
          <w:rFonts w:hint="eastAsia" w:ascii="宋体" w:hAnsi="宋体" w:eastAsia="宋体"/>
          <w:sz w:val="32"/>
          <w:szCs w:val="32"/>
        </w:rPr>
        <w:t>一、财政拨款收入：指省级财政部门当年拨付的资金。</w:t>
      </w:r>
    </w:p>
    <w:p>
      <w:pPr>
        <w:pStyle w:val="15"/>
        <w:ind w:firstLine="640" w:firstLineChars="200"/>
        <w:rPr>
          <w:rFonts w:ascii="宋体" w:hAnsi="宋体" w:eastAsia="宋体"/>
          <w:sz w:val="32"/>
          <w:szCs w:val="32"/>
        </w:rPr>
      </w:pPr>
      <w:r>
        <w:rPr>
          <w:rFonts w:hint="eastAsia" w:ascii="宋体" w:hAnsi="宋体" w:eastAsia="宋体"/>
          <w:sz w:val="32"/>
          <w:szCs w:val="32"/>
        </w:rPr>
        <w:t>二、其他收入：指市本级财政部门当年拨付的资金。 </w:t>
      </w:r>
    </w:p>
    <w:p>
      <w:pPr>
        <w:pStyle w:val="15"/>
        <w:ind w:firstLine="640" w:firstLineChars="200"/>
        <w:rPr>
          <w:rFonts w:ascii="宋体" w:hAnsi="宋体" w:eastAsia="宋体"/>
          <w:sz w:val="32"/>
          <w:szCs w:val="32"/>
        </w:rPr>
      </w:pPr>
      <w:r>
        <w:rPr>
          <w:rFonts w:hint="eastAsia" w:ascii="宋体" w:hAnsi="宋体" w:eastAsia="宋体"/>
          <w:sz w:val="32"/>
          <w:szCs w:val="32"/>
        </w:rPr>
        <w:t>三、年初结转和结余：指以前年度尚未完成、结转到本年按有关规定继续使用的资金。 </w:t>
      </w:r>
    </w:p>
    <w:p>
      <w:pPr>
        <w:pStyle w:val="15"/>
        <w:ind w:firstLine="640" w:firstLineChars="200"/>
        <w:rPr>
          <w:rFonts w:ascii="宋体" w:hAnsi="宋体" w:eastAsia="宋体"/>
          <w:sz w:val="32"/>
          <w:szCs w:val="32"/>
        </w:rPr>
      </w:pPr>
      <w:r>
        <w:rPr>
          <w:rFonts w:hint="eastAsia" w:ascii="宋体" w:hAnsi="宋体" w:eastAsia="宋体"/>
          <w:sz w:val="32"/>
          <w:szCs w:val="32"/>
        </w:rPr>
        <w:t>四、一般公共安全（类）检察（款）行政运行（项）：指检察院行政单位的基本支出。 </w:t>
      </w:r>
    </w:p>
    <w:p>
      <w:pPr>
        <w:pStyle w:val="15"/>
        <w:ind w:firstLine="640" w:firstLineChars="200"/>
        <w:rPr>
          <w:rFonts w:ascii="宋体" w:hAnsi="宋体" w:eastAsia="宋体"/>
          <w:sz w:val="32"/>
          <w:szCs w:val="32"/>
        </w:rPr>
      </w:pPr>
      <w:r>
        <w:rPr>
          <w:rFonts w:hint="eastAsia" w:ascii="宋体" w:hAnsi="宋体" w:eastAsia="宋体"/>
          <w:sz w:val="32"/>
          <w:szCs w:val="32"/>
        </w:rPr>
        <w:t>五、一般公共安全（类）检察（款）一般行政管理事务（项）：指检察院行政单位未单独设置项级科目的其他项目支出。 </w:t>
      </w:r>
    </w:p>
    <w:p>
      <w:pPr>
        <w:pStyle w:val="15"/>
        <w:ind w:firstLine="640" w:firstLineChars="200"/>
        <w:rPr>
          <w:rFonts w:ascii="宋体" w:hAnsi="宋体" w:eastAsia="宋体"/>
          <w:sz w:val="32"/>
          <w:szCs w:val="32"/>
        </w:rPr>
      </w:pPr>
      <w:r>
        <w:rPr>
          <w:rFonts w:hint="eastAsia" w:ascii="宋体" w:hAnsi="宋体" w:eastAsia="宋体"/>
          <w:sz w:val="32"/>
          <w:szCs w:val="32"/>
        </w:rPr>
        <w:t>六、 住房保障（类）住房改革（款）住房公积金（项）：指按照《住房公积金管理条例》的规定，由单位及其在职职工缴存的长期住房储金。</w:t>
      </w:r>
    </w:p>
    <w:p>
      <w:pPr>
        <w:pStyle w:val="15"/>
        <w:ind w:firstLine="640" w:firstLineChars="200"/>
        <w:rPr>
          <w:rFonts w:ascii="宋体" w:hAnsi="宋体" w:eastAsia="宋体"/>
          <w:sz w:val="32"/>
          <w:szCs w:val="32"/>
        </w:rPr>
      </w:pPr>
      <w:r>
        <w:rPr>
          <w:rFonts w:hint="eastAsia" w:ascii="宋体" w:hAnsi="宋体" w:eastAsia="宋体"/>
          <w:sz w:val="32"/>
          <w:szCs w:val="32"/>
        </w:rPr>
        <w:t>七、年末结转和结余：指本年度或以前年度预算安排、因客观条件发生变化无法按原计划实施，需延迟到以后年度按有关规定继续使用的资金。</w:t>
      </w:r>
    </w:p>
    <w:p>
      <w:pPr>
        <w:pStyle w:val="15"/>
        <w:ind w:firstLine="640" w:firstLineChars="200"/>
        <w:rPr>
          <w:rFonts w:ascii="宋体" w:hAnsi="宋体" w:eastAsia="宋体"/>
          <w:sz w:val="32"/>
          <w:szCs w:val="32"/>
        </w:rPr>
      </w:pPr>
      <w:r>
        <w:rPr>
          <w:rFonts w:hint="eastAsia" w:ascii="宋体" w:hAnsi="宋体" w:eastAsia="宋体"/>
          <w:sz w:val="32"/>
          <w:szCs w:val="32"/>
        </w:rPr>
        <w:t>八、基本支出：指为保障机构正常运转、完成日常工作任务而发生的人员支出和公用支出。</w:t>
      </w:r>
    </w:p>
    <w:p>
      <w:pPr>
        <w:pStyle w:val="15"/>
        <w:ind w:firstLine="640" w:firstLineChars="200"/>
        <w:rPr>
          <w:rFonts w:ascii="宋体" w:hAnsi="宋体" w:eastAsia="宋体"/>
          <w:sz w:val="32"/>
          <w:szCs w:val="32"/>
        </w:rPr>
      </w:pPr>
      <w:r>
        <w:rPr>
          <w:rFonts w:hint="eastAsia" w:ascii="宋体" w:hAnsi="宋体" w:eastAsia="宋体"/>
          <w:sz w:val="32"/>
          <w:szCs w:val="32"/>
        </w:rPr>
        <w:t>九、“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5"/>
        <w:ind w:firstLine="640" w:firstLineChars="200"/>
        <w:rPr>
          <w:rFonts w:ascii="宋体" w:hAnsi="宋体" w:eastAsia="宋体"/>
          <w:sz w:val="32"/>
          <w:szCs w:val="32"/>
        </w:rPr>
      </w:pPr>
      <w:r>
        <w:rPr>
          <w:rFonts w:hint="eastAsia" w:ascii="宋体" w:hAnsi="宋体" w:eastAsia="宋体"/>
          <w:sz w:val="32"/>
          <w:szCs w:val="32"/>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ind w:firstLine="640" w:firstLineChars="200"/>
        <w:rPr>
          <w:rFonts w:ascii="宋体" w:hAnsi="宋体" w:eastAsia="宋体"/>
          <w:sz w:val="32"/>
          <w:szCs w:val="32"/>
        </w:rPr>
      </w:pPr>
      <w:r>
        <w:rPr>
          <w:rFonts w:hint="eastAsia" w:ascii="宋体" w:hAnsi="宋体" w:eastAsia="宋体"/>
          <w:sz w:val="32"/>
          <w:szCs w:val="32"/>
        </w:rPr>
        <w:t>十一、项目支出：指在基本支出之外为完成特定行政任务和事业发展目标所发生的支出。</w:t>
      </w:r>
    </w:p>
    <w:p>
      <w:pPr>
        <w:pStyle w:val="15"/>
        <w:jc w:val="center"/>
        <w:rPr>
          <w:sz w:val="72"/>
          <w:szCs w:val="72"/>
        </w:rPr>
      </w:pPr>
    </w:p>
    <w:p>
      <w:pPr>
        <w:pStyle w:val="15"/>
        <w:jc w:val="center"/>
        <w:rPr>
          <w:sz w:val="72"/>
          <w:szCs w:val="72"/>
        </w:rPr>
      </w:pPr>
    </w:p>
    <w:p>
      <w:pPr>
        <w:pStyle w:val="15"/>
        <w:jc w:val="center"/>
        <w:rPr>
          <w:rFonts w:hint="eastAsia"/>
          <w:sz w:val="72"/>
          <w:szCs w:val="72"/>
          <w:lang w:eastAsia="zh-CN"/>
        </w:rPr>
      </w:pPr>
      <w:r>
        <w:rPr>
          <w:rFonts w:hint="eastAsia"/>
          <w:sz w:val="72"/>
          <w:szCs w:val="72"/>
          <w:lang w:eastAsia="zh-CN"/>
        </w:rPr>
        <w:t>第五部分</w:t>
      </w:r>
    </w:p>
    <w:p>
      <w:pPr>
        <w:pStyle w:val="15"/>
        <w:jc w:val="center"/>
        <w:rPr>
          <w:rFonts w:hint="eastAsia"/>
          <w:sz w:val="72"/>
          <w:szCs w:val="72"/>
          <w:lang w:eastAsia="zh-CN"/>
        </w:rPr>
      </w:pPr>
    </w:p>
    <w:p>
      <w:pPr>
        <w:pStyle w:val="15"/>
        <w:jc w:val="center"/>
        <w:rPr>
          <w:rFonts w:hint="eastAsia"/>
          <w:sz w:val="72"/>
          <w:szCs w:val="72"/>
          <w:lang w:eastAsia="zh-CN"/>
        </w:rPr>
      </w:pPr>
      <w:r>
        <w:rPr>
          <w:rFonts w:hint="eastAsia"/>
          <w:sz w:val="72"/>
          <w:szCs w:val="72"/>
          <w:lang w:eastAsia="zh-CN"/>
        </w:rPr>
        <w:t>附件</w:t>
      </w:r>
    </w:p>
    <w:p>
      <w:pPr>
        <w:pStyle w:val="15"/>
        <w:rPr>
          <w:rFonts w:hint="default" w:ascii="宋体" w:hAnsi="宋体" w:eastAsia="宋体" w:cs="宋体"/>
          <w:color w:val="000000"/>
          <w:kern w:val="0"/>
          <w:sz w:val="32"/>
          <w:szCs w:val="32"/>
          <w:lang w:val="en-US" w:eastAsia="zh-CN" w:bidi="ar-SA"/>
        </w:rPr>
      </w:pPr>
    </w:p>
    <w:p>
      <w:pPr>
        <w:pStyle w:val="15"/>
        <w:rPr>
          <w:rFonts w:cs="Times New Roman"/>
          <w:sz w:val="72"/>
          <w:szCs w:val="72"/>
        </w:rPr>
      </w:pPr>
    </w:p>
    <w:p>
      <w:pPr>
        <w:pStyle w:val="15"/>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2020年度部门整体支出绩效评价报告</w:t>
      </w:r>
    </w:p>
    <w:p>
      <w:pPr>
        <w:pStyle w:val="15"/>
        <w:jc w:val="center"/>
        <w:rPr>
          <w:rFonts w:hint="default" w:asciiTheme="minorEastAsia" w:hAnsiTheme="minorEastAsia" w:eastAsiaTheme="minorEastAsia" w:cstheme="minorEastAsia"/>
          <w:b w:val="0"/>
          <w:bCs w:val="0"/>
          <w:sz w:val="32"/>
          <w:szCs w:val="32"/>
          <w:lang w:val="en-US" w:eastAsia="zh-CN"/>
        </w:rPr>
      </w:pPr>
      <w:r>
        <w:rPr>
          <w:rFonts w:hint="default" w:asciiTheme="minorEastAsia" w:hAnsiTheme="minorEastAsia" w:eastAsiaTheme="minorEastAsia" w:cstheme="minorEastAsia"/>
          <w:b w:val="0"/>
          <w:bCs w:val="0"/>
          <w:sz w:val="32"/>
          <w:szCs w:val="32"/>
          <w:lang w:val="en-US" w:eastAsia="zh-CN"/>
        </w:rPr>
        <w:t>（https://www.hn.jcy.gov.cn/xwfb/czxx/qtczxxgk/202106/1464909166928723968.html）</w:t>
      </w: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altName w:val="微软雅黑"/>
    <w:panose1 w:val="02010609030101010101"/>
    <w:charset w:val="86"/>
    <w:family w:val="modern"/>
    <w:pitch w:val="default"/>
    <w:sig w:usb0="00000000" w:usb1="0000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1D7A1"/>
    <w:multiLevelType w:val="singleLevel"/>
    <w:tmpl w:val="6131D7A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ZWE2YzBlOGM1MmZjMmI5OWRiYmQ2MTY5NTk3ZGYifQ=="/>
  </w:docVars>
  <w:rsids>
    <w:rsidRoot w:val="00172A27"/>
    <w:rsid w:val="00004CC2"/>
    <w:rsid w:val="0002229B"/>
    <w:rsid w:val="000273BD"/>
    <w:rsid w:val="000415B7"/>
    <w:rsid w:val="00041E3F"/>
    <w:rsid w:val="00055DAA"/>
    <w:rsid w:val="00061F7B"/>
    <w:rsid w:val="000658A3"/>
    <w:rsid w:val="00074155"/>
    <w:rsid w:val="000A3F69"/>
    <w:rsid w:val="000B2CFE"/>
    <w:rsid w:val="00103957"/>
    <w:rsid w:val="00152C6D"/>
    <w:rsid w:val="00162D39"/>
    <w:rsid w:val="001678BD"/>
    <w:rsid w:val="00172A27"/>
    <w:rsid w:val="001A67DB"/>
    <w:rsid w:val="001B53C9"/>
    <w:rsid w:val="001C369C"/>
    <w:rsid w:val="001C3C29"/>
    <w:rsid w:val="001D51E5"/>
    <w:rsid w:val="001E080D"/>
    <w:rsid w:val="001E53D0"/>
    <w:rsid w:val="001F0C3B"/>
    <w:rsid w:val="00202C82"/>
    <w:rsid w:val="00204AF5"/>
    <w:rsid w:val="00214427"/>
    <w:rsid w:val="00226CB7"/>
    <w:rsid w:val="002276AE"/>
    <w:rsid w:val="002304B2"/>
    <w:rsid w:val="0023202B"/>
    <w:rsid w:val="00263AE4"/>
    <w:rsid w:val="00264552"/>
    <w:rsid w:val="00264EF9"/>
    <w:rsid w:val="00265724"/>
    <w:rsid w:val="0027426B"/>
    <w:rsid w:val="002E0A30"/>
    <w:rsid w:val="003108AC"/>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6C9"/>
    <w:rsid w:val="00500E5F"/>
    <w:rsid w:val="005122EF"/>
    <w:rsid w:val="0051441A"/>
    <w:rsid w:val="00517C33"/>
    <w:rsid w:val="00522E7F"/>
    <w:rsid w:val="00523644"/>
    <w:rsid w:val="0054069E"/>
    <w:rsid w:val="00544866"/>
    <w:rsid w:val="00566EC6"/>
    <w:rsid w:val="005767CC"/>
    <w:rsid w:val="0058191C"/>
    <w:rsid w:val="00590D9F"/>
    <w:rsid w:val="00595D26"/>
    <w:rsid w:val="005A74E6"/>
    <w:rsid w:val="005B404E"/>
    <w:rsid w:val="005D4D55"/>
    <w:rsid w:val="005E2CFB"/>
    <w:rsid w:val="005F3D1C"/>
    <w:rsid w:val="0062378F"/>
    <w:rsid w:val="00641842"/>
    <w:rsid w:val="00651EEC"/>
    <w:rsid w:val="00691E8C"/>
    <w:rsid w:val="00695405"/>
    <w:rsid w:val="006A22C4"/>
    <w:rsid w:val="006A2461"/>
    <w:rsid w:val="006A351B"/>
    <w:rsid w:val="006B0422"/>
    <w:rsid w:val="006C1B53"/>
    <w:rsid w:val="006D7730"/>
    <w:rsid w:val="006E5284"/>
    <w:rsid w:val="006F3EB5"/>
    <w:rsid w:val="00702E34"/>
    <w:rsid w:val="00704395"/>
    <w:rsid w:val="00717621"/>
    <w:rsid w:val="00720FF1"/>
    <w:rsid w:val="0072261D"/>
    <w:rsid w:val="00727A53"/>
    <w:rsid w:val="00742D9E"/>
    <w:rsid w:val="00787B42"/>
    <w:rsid w:val="007C4539"/>
    <w:rsid w:val="007F3657"/>
    <w:rsid w:val="00805153"/>
    <w:rsid w:val="00812ED5"/>
    <w:rsid w:val="008277D9"/>
    <w:rsid w:val="0084478C"/>
    <w:rsid w:val="0086638C"/>
    <w:rsid w:val="00884EB2"/>
    <w:rsid w:val="00896EC9"/>
    <w:rsid w:val="008A3E8D"/>
    <w:rsid w:val="008B6507"/>
    <w:rsid w:val="008E0447"/>
    <w:rsid w:val="008E1FE4"/>
    <w:rsid w:val="008F6407"/>
    <w:rsid w:val="009237C4"/>
    <w:rsid w:val="00944C48"/>
    <w:rsid w:val="00950252"/>
    <w:rsid w:val="00965994"/>
    <w:rsid w:val="00967F5D"/>
    <w:rsid w:val="0098078F"/>
    <w:rsid w:val="009A0F95"/>
    <w:rsid w:val="009B3ADF"/>
    <w:rsid w:val="009C3B52"/>
    <w:rsid w:val="009E6817"/>
    <w:rsid w:val="009E6E9A"/>
    <w:rsid w:val="00A01D2B"/>
    <w:rsid w:val="00A12E1B"/>
    <w:rsid w:val="00A2069E"/>
    <w:rsid w:val="00A42218"/>
    <w:rsid w:val="00A70249"/>
    <w:rsid w:val="00A70B02"/>
    <w:rsid w:val="00A71D9F"/>
    <w:rsid w:val="00A870D7"/>
    <w:rsid w:val="00A92E9F"/>
    <w:rsid w:val="00A93CC0"/>
    <w:rsid w:val="00A95D5C"/>
    <w:rsid w:val="00AA6673"/>
    <w:rsid w:val="00AB6AD9"/>
    <w:rsid w:val="00AD35E3"/>
    <w:rsid w:val="00AF0C6F"/>
    <w:rsid w:val="00B33BEA"/>
    <w:rsid w:val="00B35481"/>
    <w:rsid w:val="00B57C9F"/>
    <w:rsid w:val="00B63572"/>
    <w:rsid w:val="00B6675B"/>
    <w:rsid w:val="00B845B3"/>
    <w:rsid w:val="00B85D8B"/>
    <w:rsid w:val="00B8681A"/>
    <w:rsid w:val="00BB4A40"/>
    <w:rsid w:val="00BD6C3E"/>
    <w:rsid w:val="00BE3674"/>
    <w:rsid w:val="00C03DB5"/>
    <w:rsid w:val="00C10681"/>
    <w:rsid w:val="00C11F9E"/>
    <w:rsid w:val="00C3049A"/>
    <w:rsid w:val="00C31B1E"/>
    <w:rsid w:val="00C77645"/>
    <w:rsid w:val="00CA4EFD"/>
    <w:rsid w:val="00CE04C3"/>
    <w:rsid w:val="00CE76A0"/>
    <w:rsid w:val="00D148C6"/>
    <w:rsid w:val="00D17A8A"/>
    <w:rsid w:val="00D415BA"/>
    <w:rsid w:val="00D644EE"/>
    <w:rsid w:val="00DD06FF"/>
    <w:rsid w:val="00DD5FE9"/>
    <w:rsid w:val="00E00C7A"/>
    <w:rsid w:val="00E01031"/>
    <w:rsid w:val="00E37D6C"/>
    <w:rsid w:val="00E546F7"/>
    <w:rsid w:val="00E55B68"/>
    <w:rsid w:val="00E67BE6"/>
    <w:rsid w:val="00E8683C"/>
    <w:rsid w:val="00EA2B72"/>
    <w:rsid w:val="00EC66CC"/>
    <w:rsid w:val="00ED4D77"/>
    <w:rsid w:val="00F74360"/>
    <w:rsid w:val="00F76BC4"/>
    <w:rsid w:val="00FB462F"/>
    <w:rsid w:val="00FB74B6"/>
    <w:rsid w:val="00FC257F"/>
    <w:rsid w:val="00FE16FA"/>
    <w:rsid w:val="00FE328A"/>
    <w:rsid w:val="00FE6269"/>
    <w:rsid w:val="03284106"/>
    <w:rsid w:val="046702C7"/>
    <w:rsid w:val="05467935"/>
    <w:rsid w:val="0597643A"/>
    <w:rsid w:val="05E84F40"/>
    <w:rsid w:val="06040FED"/>
    <w:rsid w:val="0EB01B25"/>
    <w:rsid w:val="110008AD"/>
    <w:rsid w:val="1BEC49DB"/>
    <w:rsid w:val="23CE3C4D"/>
    <w:rsid w:val="23E03B67"/>
    <w:rsid w:val="246B4DD0"/>
    <w:rsid w:val="2814104E"/>
    <w:rsid w:val="286C74DE"/>
    <w:rsid w:val="2C2C2488"/>
    <w:rsid w:val="2C9256AF"/>
    <w:rsid w:val="310C4204"/>
    <w:rsid w:val="31283B34"/>
    <w:rsid w:val="32F866FD"/>
    <w:rsid w:val="33F31A49"/>
    <w:rsid w:val="366B5955"/>
    <w:rsid w:val="380F6006"/>
    <w:rsid w:val="38103A87"/>
    <w:rsid w:val="3FAEAE5B"/>
    <w:rsid w:val="427F5525"/>
    <w:rsid w:val="4BBA00AF"/>
    <w:rsid w:val="4C7E128E"/>
    <w:rsid w:val="4EEE450B"/>
    <w:rsid w:val="4FD10381"/>
    <w:rsid w:val="51A95A08"/>
    <w:rsid w:val="5473009A"/>
    <w:rsid w:val="56324B78"/>
    <w:rsid w:val="5B351432"/>
    <w:rsid w:val="5F2538A6"/>
    <w:rsid w:val="61393311"/>
    <w:rsid w:val="614538A0"/>
    <w:rsid w:val="652AAF8E"/>
    <w:rsid w:val="65752381"/>
    <w:rsid w:val="66720F9F"/>
    <w:rsid w:val="669F43ED"/>
    <w:rsid w:val="67B06428"/>
    <w:rsid w:val="67E049F9"/>
    <w:rsid w:val="69D364AE"/>
    <w:rsid w:val="6BF852EB"/>
    <w:rsid w:val="72E67C90"/>
    <w:rsid w:val="72F23AA2"/>
    <w:rsid w:val="73A66058"/>
    <w:rsid w:val="76C543E8"/>
    <w:rsid w:val="7785AF41"/>
    <w:rsid w:val="77FF4BB0"/>
    <w:rsid w:val="782643AF"/>
    <w:rsid w:val="7A7737AF"/>
    <w:rsid w:val="7AF27D45"/>
    <w:rsid w:val="7B5DE06D"/>
    <w:rsid w:val="7DC31D62"/>
    <w:rsid w:val="7F7B48E6"/>
    <w:rsid w:val="FEFF14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next w:val="4"/>
    <w:unhideWhenUsed/>
    <w:qFormat/>
    <w:uiPriority w:val="99"/>
    <w:pPr>
      <w:spacing w:after="120"/>
    </w:pPr>
  </w:style>
  <w:style w:type="paragraph" w:styleId="4">
    <w:name w:val="toc 5"/>
    <w:basedOn w:val="1"/>
    <w:next w:val="1"/>
    <w:qFormat/>
    <w:locked/>
    <w:uiPriority w:val="0"/>
    <w:pPr>
      <w:ind w:left="1680" w:leftChars="800"/>
    </w:p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locked/>
    <w:uiPriority w:val="99"/>
    <w:rPr>
      <w:b/>
      <w:bCs/>
    </w:rPr>
  </w:style>
  <w:style w:type="character" w:customStyle="1" w:styleId="12">
    <w:name w:val="Balloon Text Char"/>
    <w:basedOn w:val="10"/>
    <w:link w:val="5"/>
    <w:semiHidden/>
    <w:qFormat/>
    <w:locked/>
    <w:uiPriority w:val="99"/>
    <w:rPr>
      <w:sz w:val="18"/>
      <w:szCs w:val="18"/>
    </w:rPr>
  </w:style>
  <w:style w:type="character" w:customStyle="1" w:styleId="13">
    <w:name w:val="Footer Char"/>
    <w:basedOn w:val="10"/>
    <w:link w:val="6"/>
    <w:qFormat/>
    <w:locked/>
    <w:uiPriority w:val="99"/>
    <w:rPr>
      <w:sz w:val="18"/>
      <w:szCs w:val="18"/>
    </w:rPr>
  </w:style>
  <w:style w:type="character" w:customStyle="1" w:styleId="14">
    <w:name w:val="Header Char"/>
    <w:basedOn w:val="10"/>
    <w:link w:val="7"/>
    <w:qFormat/>
    <w:locked/>
    <w:uiPriority w:val="99"/>
    <w:rPr>
      <w:sz w:val="18"/>
      <w:szCs w:val="18"/>
    </w:rPr>
  </w:style>
  <w:style w:type="paragraph" w:customStyle="1" w:styleId="15">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26</Pages>
  <Words>5175</Words>
  <Characters>5726</Characters>
  <Lines>0</Lines>
  <Paragraphs>0</Paragraphs>
  <TotalTime>21</TotalTime>
  <ScaleCrop>false</ScaleCrop>
  <LinksUpToDate>false</LinksUpToDate>
  <CharactersWithSpaces>5757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苹果</cp:lastModifiedBy>
  <cp:lastPrinted>2021-07-28T16:12:00Z</cp:lastPrinted>
  <dcterms:modified xsi:type="dcterms:W3CDTF">2022-09-23T10:08:57Z</dcterms:modified>
  <dc:title>2020年度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371E62505C3C4B5DB1A95423AE221AA0</vt:lpwstr>
  </property>
</Properties>
</file>