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双峰县人大常委会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关于开展“两官”履职评议的公告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为进一步加强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人大</w:t>
      </w:r>
      <w:r>
        <w:rPr>
          <w:rFonts w:hint="eastAsia" w:ascii="仿宋" w:hAnsi="仿宋" w:eastAsia="仿宋" w:cs="仿宋_GB2312"/>
          <w:sz w:val="32"/>
          <w:szCs w:val="32"/>
        </w:rPr>
        <w:t>对司法工作的监督，落实司法责任制，促进司法公正，县人大常委会决定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_GB2312"/>
          <w:sz w:val="32"/>
          <w:szCs w:val="32"/>
        </w:rPr>
        <w:t>对县人民法院员额法官、县人民检察院员额检察官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（简称“两官”）</w:t>
      </w:r>
      <w:r>
        <w:rPr>
          <w:rFonts w:hint="eastAsia" w:ascii="仿宋" w:hAnsi="仿宋" w:eastAsia="仿宋" w:cs="仿宋_GB2312"/>
          <w:sz w:val="32"/>
          <w:szCs w:val="32"/>
        </w:rPr>
        <w:t>开展履职评议。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_GB2312"/>
          <w:sz w:val="32"/>
          <w:szCs w:val="32"/>
        </w:rPr>
        <w:t>评议工作领导小组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_GB2312"/>
          <w:sz w:val="32"/>
          <w:szCs w:val="32"/>
        </w:rPr>
        <w:t>会同两院以随机抽取方式确定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8名</w:t>
      </w:r>
      <w:r>
        <w:rPr>
          <w:rFonts w:hint="eastAsia" w:ascii="仿宋" w:hAnsi="仿宋" w:eastAsia="仿宋" w:cs="仿宋_GB2312"/>
          <w:sz w:val="32"/>
          <w:szCs w:val="32"/>
        </w:rPr>
        <w:t>被评议对象（名单附后），现予公告，公告期为202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日至1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日。欢迎社会各界人士向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县人大常委会两官履职</w:t>
      </w:r>
      <w:r>
        <w:rPr>
          <w:rFonts w:hint="eastAsia" w:ascii="仿宋" w:hAnsi="仿宋" w:eastAsia="仿宋" w:cs="仿宋_GB2312"/>
          <w:sz w:val="32"/>
          <w:szCs w:val="32"/>
        </w:rPr>
        <w:t>评议工作领导小组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办公室（设</w:t>
      </w:r>
      <w:r>
        <w:rPr>
          <w:rFonts w:hint="eastAsia" w:ascii="仿宋" w:hAnsi="仿宋" w:eastAsia="仿宋" w:cs="仿宋_GB2312"/>
          <w:sz w:val="32"/>
          <w:szCs w:val="32"/>
        </w:rPr>
        <w:t>县人大监察和司法委员会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反映情况，提出意见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如书面反映情况的，须注明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反映</w:t>
      </w:r>
      <w:r>
        <w:rPr>
          <w:rFonts w:hint="eastAsia" w:ascii="仿宋" w:hAnsi="仿宋" w:eastAsia="仿宋" w:cs="仿宋_GB2312"/>
          <w:sz w:val="32"/>
          <w:szCs w:val="32"/>
        </w:rPr>
        <w:t>人的真实姓名和联系方式。县人大监察和司法委员会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_GB2312"/>
          <w:sz w:val="32"/>
          <w:szCs w:val="32"/>
        </w:rPr>
        <w:t>电话：0738-6836030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；联系人，王丽，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13873800659。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年双峰县员额法官、员额检察官履职评议对象名单</w:t>
      </w:r>
    </w:p>
    <w:tbl>
      <w:tblPr>
        <w:tblStyle w:val="2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215"/>
        <w:gridCol w:w="885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1" w:firstLineChars="100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单   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85" w:firstLineChars="400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县人民法院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胡端梅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副院长、一级法官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县人民法院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罗红光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永丰法庭庭长、一级法官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县人民法院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谢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速裁团队队长，一级法官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县人民法院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杜江永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刑事庭员额法官，一级法官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县人民法院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贺建华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审管办员额法官，一级法官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县人民检察院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彭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检察委员会专职委员，一级检察官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县人民检察院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华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检察部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主任，一级检察官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县人民检察院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李艳齐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检察部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副主任，一级检察官</w:t>
            </w:r>
          </w:p>
        </w:tc>
      </w:tr>
    </w:tbl>
    <w:p>
      <w:pPr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双峰县人大常委会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两官履职</w:t>
      </w:r>
      <w:r>
        <w:rPr>
          <w:rFonts w:hint="eastAsia" w:ascii="仿宋" w:hAnsi="仿宋" w:eastAsia="仿宋" w:cs="仿宋_GB2312"/>
          <w:sz w:val="32"/>
          <w:szCs w:val="32"/>
        </w:rPr>
        <w:t>评议工作领导小组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办公室</w:t>
      </w:r>
    </w:p>
    <w:p>
      <w:pPr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TBjMGIxMThmOTBjZWI4ZDQzNDRkZjc0NmM1ZTkifQ=="/>
  </w:docVars>
  <w:rsids>
    <w:rsidRoot w:val="00000000"/>
    <w:rsid w:val="71E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2023-08-04T07:41:54Z</dcterms:created>
  <dc:creator>Administrator</dc:creator>
  <cp:lastModifiedBy>Administrator</cp:lastModifiedBy>
  <dcterms:modified xsi:type="dcterms:W3CDTF">2023-08-04T07:42:30Z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7F008369355B47B5AE3CF7EEAAD3564A_12</vt:lpwstr>
  </property>
</Properties>
</file>