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center"/>
        <w:rPr>
          <w:sz w:val="56"/>
          <w:szCs w:val="56"/>
        </w:rPr>
      </w:pPr>
      <w: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3175"/>
                <wp:wrapNone/>
                <wp:docPr id="18" name="文本框 1"/>
                <wp:cNvGraphicFramePr/>
                <a:graphic xmlns:a="http://schemas.openxmlformats.org/drawingml/2006/main">
                  <a:graphicData uri="http://schemas.microsoft.com/office/word/2010/wordprocessingShape">
                    <wps:wsp>
                      <wps:cNvSpPr/>
                      <wps:spPr>
                        <a:xfrm>
                          <a:off x="0" y="0"/>
                          <a:ext cx="1523365" cy="517525"/>
                        </a:xfrm>
                        <a:prstGeom prst="rect">
                          <a:avLst/>
                        </a:prstGeom>
                        <a:solidFill>
                          <a:srgbClr val="FFFFFF"/>
                        </a:solidFill>
                        <a:ln>
                          <a:noFill/>
                        </a:ln>
                        <a:effectLst/>
                      </wps:spPr>
                      <wps:txbx>
                        <w:txbxContent>
                          <w:p>
                            <w:pPr>
                              <w:rPr>
                                <w:rFonts w:ascii="楷体" w:hAnsi="楷体" w:eastAsia="楷体" w:cs="楷体"/>
                                <w:sz w:val="30"/>
                                <w:szCs w:val="30"/>
                              </w:rPr>
                            </w:pPr>
                          </w:p>
                        </w:txbxContent>
                      </wps:txbx>
                      <wps:bodyPr rot="0" spcFirstLastPara="0" vertOverflow="overflow" horzOverflow="overflow" vert="horz" wrap="square" lIns="91440" tIns="45720" rIns="91440" bIns="45720" numCol="1" rtlCol="0" anchor="t" upright="0">
                        <a:noAutofit/>
                      </wps:bodyPr>
                    </wps:wsp>
                  </a:graphicData>
                </a:graphic>
              </wp:anchor>
            </w:drawing>
          </mc:Choice>
          <mc:Fallback>
            <w:pict>
              <v:rect id="文本框 1" o:spid="_x0000_s1026" o:spt="1" style="position:absolute;left:0pt;margin-left:-18.6pt;margin-top:-23.4pt;height:40.75pt;width:119.95pt;z-index:251659264;mso-width-relative:page;mso-height-relative:page;" fillcolor="#FFFFFF" filled="t" stroked="f" coordsize="21600,21600" o:gfxdata="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pceuB2AAAAAoBAAAPAAAAAAAAAAEAIAAAACIAAABkcnMvZG93bnJldi54bWxQSwECFAAU&#10;AAAACACHTuJA0mwkhSoCAABSBAAADgAAAAAAAAABACAAAAAnAQAAZHJzL2Uyb0RvYy54bWxQSwUG&#10;AAAAAAYABgBZAQAAwwUAAAAA&#10;">
                <v:fill on="t" focussize="0,0"/>
                <v:stroke on="f"/>
                <v:imagedata o:title=""/>
                <o:lock v:ext="edit" aspectratio="f"/>
                <v:textbox>
                  <w:txbxContent>
                    <w:p>
                      <w:pPr>
                        <w:rPr>
                          <w:rFonts w:ascii="楷体" w:hAnsi="楷体" w:eastAsia="楷体" w:cs="楷体"/>
                          <w:sz w:val="30"/>
                          <w:szCs w:val="30"/>
                        </w:rPr>
                      </w:pPr>
                    </w:p>
                  </w:txbxContent>
                </v:textbox>
              </v:rect>
            </w:pict>
          </mc:Fallback>
        </mc:AlternateContent>
      </w:r>
    </w:p>
    <w:p>
      <w:pPr>
        <w:pStyle w:val="20"/>
        <w:jc w:val="center"/>
        <w:rPr>
          <w:sz w:val="56"/>
          <w:szCs w:val="56"/>
        </w:rPr>
      </w:pPr>
    </w:p>
    <w:p>
      <w:pPr>
        <w:pStyle w:val="20"/>
        <w:jc w:val="center"/>
        <w:rPr>
          <w:sz w:val="56"/>
          <w:szCs w:val="56"/>
        </w:rPr>
      </w:pPr>
    </w:p>
    <w:p>
      <w:pPr>
        <w:pStyle w:val="20"/>
        <w:jc w:val="center"/>
        <w:rPr>
          <w:sz w:val="84"/>
          <w:szCs w:val="84"/>
        </w:rPr>
      </w:pPr>
    </w:p>
    <w:p>
      <w:pPr>
        <w:pStyle w:val="20"/>
        <w:jc w:val="center"/>
        <w:rPr>
          <w:sz w:val="84"/>
          <w:szCs w:val="84"/>
        </w:rPr>
      </w:pPr>
    </w:p>
    <w:p>
      <w:pPr>
        <w:pStyle w:val="20"/>
        <w:jc w:val="center"/>
        <w:rPr>
          <w:rFonts w:ascii="方正小标宋_GBK" w:hAnsi="方正小标宋_GBK" w:eastAsia="方正小标宋_GBK" w:cs="方正小标宋_GBK"/>
          <w:sz w:val="84"/>
          <w:szCs w:val="84"/>
        </w:rPr>
      </w:pPr>
      <w:r>
        <w:rPr>
          <w:rFonts w:ascii="方正小标宋_GBK" w:hAnsi="方正小标宋_GBK" w:eastAsia="方正小标宋_GBK" w:cs="方正小标宋_GBK"/>
          <w:sz w:val="84"/>
          <w:szCs w:val="84"/>
        </w:rPr>
        <w:t>2022</w:t>
      </w:r>
      <w:r>
        <w:rPr>
          <w:rFonts w:hint="eastAsia" w:ascii="方正小标宋_GBK" w:hAnsi="方正小标宋_GBK" w:eastAsia="方正小标宋_GBK" w:cs="方正小标宋_GBK"/>
          <w:sz w:val="84"/>
          <w:szCs w:val="84"/>
        </w:rPr>
        <w:t>年度</w:t>
      </w:r>
    </w:p>
    <w:p>
      <w:pPr>
        <w:pStyle w:val="2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双峰县人民检察院部门决算</w:t>
      </w:r>
    </w:p>
    <w:p>
      <w:pPr>
        <w:pStyle w:val="20"/>
        <w:jc w:val="center"/>
        <w:rPr>
          <w:rFonts w:ascii="方正小标宋_GBK" w:hAnsi="方正小标宋_GBK" w:eastAsia="方正小标宋_GBK" w:cs="方正小标宋_GBK"/>
          <w:sz w:val="56"/>
          <w:szCs w:val="56"/>
        </w:rPr>
      </w:pPr>
    </w:p>
    <w:p>
      <w:pPr>
        <w:pStyle w:val="20"/>
        <w:jc w:val="center"/>
        <w:rPr>
          <w:sz w:val="56"/>
          <w:szCs w:val="56"/>
        </w:rPr>
      </w:pPr>
    </w:p>
    <w:p>
      <w:pPr>
        <w:pStyle w:val="20"/>
        <w:jc w:val="center"/>
        <w:rPr>
          <w:sz w:val="56"/>
          <w:szCs w:val="56"/>
        </w:rPr>
      </w:pPr>
    </w:p>
    <w:p>
      <w:pPr>
        <w:pStyle w:val="20"/>
        <w:jc w:val="center"/>
        <w:rPr>
          <w:sz w:val="56"/>
          <w:szCs w:val="56"/>
        </w:rPr>
      </w:pPr>
    </w:p>
    <w:p>
      <w:pPr>
        <w:pStyle w:val="20"/>
        <w:jc w:val="center"/>
        <w:rPr>
          <w:sz w:val="32"/>
          <w:szCs w:val="32"/>
        </w:rPr>
      </w:pPr>
    </w:p>
    <w:p>
      <w:pPr>
        <w:pStyle w:val="20"/>
        <w:jc w:val="center"/>
        <w:rPr>
          <w:sz w:val="32"/>
          <w:szCs w:val="32"/>
        </w:rPr>
      </w:pPr>
    </w:p>
    <w:p>
      <w:pPr>
        <w:pStyle w:val="20"/>
        <w:jc w:val="center"/>
        <w:rPr>
          <w:sz w:val="32"/>
          <w:szCs w:val="32"/>
        </w:rPr>
      </w:pPr>
    </w:p>
    <w:p>
      <w:pPr>
        <w:pStyle w:val="20"/>
        <w:spacing w:line="500" w:lineRule="exact"/>
        <w:jc w:val="both"/>
        <w:rPr>
          <w:b/>
          <w:sz w:val="36"/>
          <w:szCs w:val="28"/>
        </w:rPr>
      </w:pPr>
    </w:p>
    <w:p>
      <w:pPr>
        <w:pStyle w:val="20"/>
        <w:spacing w:line="500" w:lineRule="exact"/>
        <w:jc w:val="both"/>
        <w:rPr>
          <w:b/>
          <w:sz w:val="36"/>
          <w:szCs w:val="28"/>
        </w:rPr>
      </w:pPr>
    </w:p>
    <w:p>
      <w:pPr>
        <w:pStyle w:val="20"/>
        <w:spacing w:line="500" w:lineRule="exact"/>
        <w:jc w:val="center"/>
        <w:rPr>
          <w:rFonts w:hint="eastAsia"/>
          <w:b/>
          <w:sz w:val="36"/>
          <w:szCs w:val="28"/>
        </w:rPr>
      </w:pPr>
    </w:p>
    <w:p>
      <w:pPr>
        <w:pStyle w:val="20"/>
        <w:spacing w:line="500" w:lineRule="exact"/>
        <w:jc w:val="center"/>
        <w:rPr>
          <w:rFonts w:hint="eastAsia"/>
          <w:b/>
          <w:sz w:val="36"/>
          <w:szCs w:val="28"/>
        </w:rPr>
      </w:pPr>
    </w:p>
    <w:p>
      <w:pPr>
        <w:pStyle w:val="20"/>
        <w:spacing w:line="500" w:lineRule="exact"/>
        <w:jc w:val="center"/>
        <w:rPr>
          <w:b/>
          <w:sz w:val="36"/>
          <w:szCs w:val="28"/>
        </w:rPr>
      </w:pPr>
      <w:r>
        <w:rPr>
          <w:rFonts w:hint="eastAsia"/>
          <w:b/>
          <w:sz w:val="36"/>
          <w:szCs w:val="28"/>
        </w:rPr>
        <w:t>目录</w:t>
      </w:r>
    </w:p>
    <w:p>
      <w:pPr>
        <w:pStyle w:val="20"/>
        <w:spacing w:line="500" w:lineRule="exact"/>
        <w:rPr>
          <w:rFonts w:hint="eastAsia" w:hAnsi="黑体"/>
          <w:bCs/>
          <w:sz w:val="28"/>
          <w:szCs w:val="28"/>
        </w:rPr>
      </w:pPr>
    </w:p>
    <w:p>
      <w:pPr>
        <w:pStyle w:val="20"/>
        <w:spacing w:line="500" w:lineRule="exact"/>
        <w:rPr>
          <w:rFonts w:hint="eastAsia" w:hAnsi="黑体"/>
          <w:bCs/>
          <w:sz w:val="28"/>
          <w:szCs w:val="28"/>
        </w:rPr>
      </w:pPr>
    </w:p>
    <w:p>
      <w:pPr>
        <w:pStyle w:val="20"/>
        <w:spacing w:line="500" w:lineRule="exact"/>
        <w:rPr>
          <w:rFonts w:hAnsi="黑体"/>
          <w:bCs/>
          <w:sz w:val="28"/>
          <w:szCs w:val="28"/>
        </w:rPr>
      </w:pPr>
      <w:r>
        <w:rPr>
          <w:rFonts w:hint="eastAsia" w:hAnsi="黑体"/>
          <w:bCs/>
          <w:sz w:val="28"/>
          <w:szCs w:val="28"/>
        </w:rPr>
        <w:t>第一部分</w:t>
      </w:r>
      <w:r>
        <w:rPr>
          <w:rFonts w:hint="eastAsia" w:hAnsi="黑体"/>
          <w:bCs/>
          <w:sz w:val="28"/>
          <w:szCs w:val="28"/>
          <w:lang w:val="en-US" w:eastAsia="zh-CN"/>
        </w:rPr>
        <w:t xml:space="preserve"> </w:t>
      </w:r>
      <w:r>
        <w:rPr>
          <w:rFonts w:hint="eastAsia" w:hAnsi="黑体"/>
          <w:bCs/>
          <w:sz w:val="28"/>
          <w:szCs w:val="28"/>
        </w:rPr>
        <w:t>双峰县人民检察院</w:t>
      </w:r>
      <w:r>
        <w:rPr>
          <w:rFonts w:hint="eastAsia" w:hAnsi="黑体"/>
          <w:bCs/>
          <w:sz w:val="28"/>
          <w:szCs w:val="28"/>
          <w:lang w:eastAsia="zh-CN"/>
        </w:rPr>
        <w:t>部门</w:t>
      </w:r>
      <w:r>
        <w:rPr>
          <w:rFonts w:hint="eastAsia" w:hAnsi="黑体"/>
          <w:bCs/>
          <w:sz w:val="28"/>
          <w:szCs w:val="28"/>
        </w:rPr>
        <w:t>概况</w:t>
      </w:r>
    </w:p>
    <w:p>
      <w:pPr>
        <w:pStyle w:val="2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2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20"/>
        <w:spacing w:line="500" w:lineRule="exact"/>
        <w:rPr>
          <w:rFonts w:hAnsi="黑体"/>
          <w:bCs/>
          <w:sz w:val="28"/>
          <w:szCs w:val="28"/>
        </w:rPr>
      </w:pPr>
      <w:r>
        <w:rPr>
          <w:rFonts w:hint="eastAsia" w:hAnsi="黑体"/>
          <w:bCs/>
          <w:sz w:val="28"/>
          <w:szCs w:val="28"/>
        </w:rPr>
        <w:t>第二部分</w:t>
      </w:r>
      <w:r>
        <w:rPr>
          <w:rFonts w:hAnsi="黑体"/>
          <w:bCs/>
          <w:sz w:val="28"/>
          <w:szCs w:val="28"/>
        </w:rPr>
        <w:t xml:space="preserve"> </w:t>
      </w:r>
      <w:r>
        <w:rPr>
          <w:rFonts w:hint="eastAsia" w:hAnsi="黑体"/>
          <w:bCs/>
          <w:sz w:val="28"/>
          <w:szCs w:val="28"/>
        </w:rPr>
        <w:t>部门决算表</w:t>
      </w:r>
    </w:p>
    <w:p>
      <w:pPr>
        <w:pStyle w:val="2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2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2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2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2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2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2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2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2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20"/>
        <w:spacing w:line="500" w:lineRule="exact"/>
        <w:rPr>
          <w:rFonts w:hAnsi="黑体"/>
          <w:bCs/>
          <w:sz w:val="28"/>
          <w:szCs w:val="28"/>
        </w:rPr>
      </w:pPr>
      <w:r>
        <w:rPr>
          <w:rFonts w:hint="eastAsia" w:hAnsi="黑体"/>
          <w:bCs/>
          <w:sz w:val="28"/>
          <w:szCs w:val="28"/>
        </w:rPr>
        <w:t>第三部分</w:t>
      </w:r>
      <w:r>
        <w:rPr>
          <w:rFonts w:hAnsi="黑体"/>
          <w:bCs/>
          <w:sz w:val="28"/>
          <w:szCs w:val="28"/>
        </w:rPr>
        <w:t xml:space="preserve"> </w:t>
      </w:r>
      <w:r>
        <w:rPr>
          <w:rFonts w:hint="eastAsia" w:hAnsi="黑体"/>
          <w:bCs/>
          <w:sz w:val="28"/>
          <w:szCs w:val="28"/>
        </w:rPr>
        <w:t>部门决算情况说明</w:t>
      </w:r>
    </w:p>
    <w:p>
      <w:pPr>
        <w:pStyle w:val="2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2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2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20"/>
        <w:spacing w:line="500" w:lineRule="exact"/>
        <w:rPr>
          <w:sz w:val="72"/>
          <w:szCs w:val="72"/>
        </w:rPr>
      </w:pPr>
      <w:r>
        <w:rPr>
          <w:rFonts w:hint="eastAsia" w:hAnsi="黑体"/>
          <w:bCs/>
          <w:sz w:val="28"/>
          <w:szCs w:val="28"/>
        </w:rPr>
        <w:t>第四部分</w:t>
      </w:r>
      <w:r>
        <w:rPr>
          <w:rFonts w:hAnsi="黑体"/>
          <w:bCs/>
          <w:sz w:val="28"/>
          <w:szCs w:val="28"/>
        </w:rPr>
        <w:t xml:space="preserve"> </w:t>
      </w:r>
      <w:r>
        <w:rPr>
          <w:rFonts w:hint="eastAsia" w:hAnsi="黑体"/>
          <w:bCs/>
          <w:sz w:val="28"/>
          <w:szCs w:val="28"/>
        </w:rPr>
        <w:t>名词解释</w:t>
      </w:r>
    </w:p>
    <w:p>
      <w:pPr>
        <w:pStyle w:val="2"/>
        <w:rPr>
          <w:sz w:val="72"/>
          <w:szCs w:val="72"/>
        </w:rPr>
      </w:pPr>
    </w:p>
    <w:p>
      <w:pPr>
        <w:pStyle w:val="2"/>
        <w:tabs>
          <w:tab w:val="left" w:pos="3491"/>
        </w:tabs>
        <w:rPr>
          <w:rFonts w:hint="eastAsia"/>
          <w:sz w:val="72"/>
          <w:szCs w:val="72"/>
          <w:lang w:eastAsia="zh-CN"/>
        </w:rPr>
      </w:pPr>
      <w:r>
        <w:rPr>
          <w:rFonts w:hint="eastAsia"/>
          <w:sz w:val="72"/>
          <w:szCs w:val="72"/>
          <w:lang w:eastAsia="zh-CN"/>
        </w:rPr>
        <w:tab/>
      </w:r>
    </w:p>
    <w:p>
      <w:pPr>
        <w:pStyle w:val="2"/>
        <w:tabs>
          <w:tab w:val="left" w:pos="3491"/>
        </w:tabs>
        <w:rPr>
          <w:rFonts w:hint="eastAsia"/>
          <w:sz w:val="72"/>
          <w:szCs w:val="72"/>
          <w:lang w:eastAsia="zh-CN"/>
        </w:rPr>
      </w:pPr>
    </w:p>
    <w:p>
      <w:pPr>
        <w:pStyle w:val="2"/>
        <w:tabs>
          <w:tab w:val="left" w:pos="3491"/>
        </w:tabs>
        <w:rPr>
          <w:rFonts w:hint="eastAsia"/>
          <w:sz w:val="72"/>
          <w:szCs w:val="72"/>
          <w:lang w:eastAsia="zh-CN"/>
        </w:rPr>
      </w:pPr>
    </w:p>
    <w:p>
      <w:pPr>
        <w:pStyle w:val="2"/>
        <w:tabs>
          <w:tab w:val="left" w:pos="3491"/>
        </w:tabs>
        <w:rPr>
          <w:rFonts w:hint="eastAsia"/>
          <w:sz w:val="72"/>
          <w:szCs w:val="72"/>
          <w:lang w:eastAsia="zh-CN"/>
        </w:rPr>
      </w:pPr>
    </w:p>
    <w:p>
      <w:pPr>
        <w:pStyle w:val="2"/>
        <w:tabs>
          <w:tab w:val="left" w:pos="3491"/>
        </w:tabs>
        <w:rPr>
          <w:rFonts w:hint="eastAsia"/>
          <w:sz w:val="72"/>
          <w:szCs w:val="72"/>
          <w:lang w:eastAsia="zh-CN"/>
        </w:rPr>
      </w:pPr>
    </w:p>
    <w:p>
      <w:pPr>
        <w:pStyle w:val="2"/>
        <w:tabs>
          <w:tab w:val="left" w:pos="3491"/>
        </w:tabs>
        <w:rPr>
          <w:rFonts w:hint="eastAsia"/>
          <w:sz w:val="72"/>
          <w:szCs w:val="72"/>
          <w:lang w:eastAsia="zh-CN"/>
        </w:rPr>
      </w:pPr>
    </w:p>
    <w:p>
      <w:pPr>
        <w:pStyle w:val="2"/>
        <w:tabs>
          <w:tab w:val="left" w:pos="3491"/>
        </w:tabs>
        <w:rPr>
          <w:rFonts w:hint="eastAsia"/>
          <w:sz w:val="72"/>
          <w:szCs w:val="72"/>
          <w:lang w:eastAsia="zh-CN"/>
        </w:rPr>
      </w:pPr>
    </w:p>
    <w:p>
      <w:pPr>
        <w:pStyle w:val="2"/>
        <w:tabs>
          <w:tab w:val="left" w:pos="3491"/>
        </w:tabs>
        <w:rPr>
          <w:rFonts w:hint="eastAsia"/>
          <w:sz w:val="72"/>
          <w:szCs w:val="72"/>
          <w:lang w:eastAsia="zh-CN"/>
        </w:rPr>
      </w:pPr>
    </w:p>
    <w:p>
      <w:pPr>
        <w:pStyle w:val="2"/>
        <w:tabs>
          <w:tab w:val="left" w:pos="3491"/>
        </w:tabs>
        <w:rPr>
          <w:rFonts w:hint="eastAsia"/>
          <w:sz w:val="72"/>
          <w:szCs w:val="72"/>
          <w:lang w:eastAsia="zh-CN"/>
        </w:rPr>
      </w:pPr>
    </w:p>
    <w:p>
      <w:pPr>
        <w:pStyle w:val="2"/>
        <w:ind w:left="0" w:leftChars="0" w:firstLine="0" w:firstLineChars="0"/>
      </w:pPr>
    </w:p>
    <w:p>
      <w:pPr>
        <w:pStyle w:val="2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第一部分</w:t>
      </w:r>
      <w:r>
        <w:rPr>
          <w:rFonts w:ascii="方正小标宋_GBK" w:hAnsi="方正小标宋_GBK" w:eastAsia="方正小标宋_GBK" w:cs="方正小标宋_GBK"/>
          <w:sz w:val="84"/>
          <w:szCs w:val="84"/>
        </w:rPr>
        <w:t xml:space="preserve"> </w:t>
      </w:r>
    </w:p>
    <w:p>
      <w:pPr>
        <w:pStyle w:val="20"/>
        <w:jc w:val="center"/>
        <w:rPr>
          <w:rFonts w:ascii="方正小标宋_GBK" w:hAnsi="方正小标宋_GBK" w:eastAsia="方正小标宋_GBK" w:cs="方正小标宋_GBK"/>
          <w:sz w:val="84"/>
          <w:szCs w:val="84"/>
        </w:rPr>
      </w:pPr>
    </w:p>
    <w:p>
      <w:pPr>
        <w:pStyle w:val="2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双峰县人民检察院</w:t>
      </w: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概况</w:t>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1"/>
        <w:numPr>
          <w:ilvl w:val="0"/>
          <w:numId w:val="0"/>
        </w:numPr>
        <w:ind w:firstLine="960" w:firstLineChars="300"/>
        <w:jc w:val="left"/>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部门职责</w:t>
      </w:r>
    </w:p>
    <w:p>
      <w:pPr>
        <w:keepNext w:val="0"/>
        <w:keepLines w:val="0"/>
        <w:pageBreakBefore w:val="0"/>
        <w:widowControl w:val="0"/>
        <w:kinsoku/>
        <w:wordWrap/>
        <w:overflowPunct/>
        <w:topLinePunct w:val="0"/>
        <w:autoSpaceDE w:val="0"/>
        <w:autoSpaceDN w:val="0"/>
        <w:bidi w:val="0"/>
        <w:adjustRightInd w:val="0"/>
        <w:snapToGrid/>
        <w:spacing w:line="360" w:lineRule="auto"/>
        <w:ind w:firstLine="800" w:firstLineChars="25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双峰县人民检察院是国家的法律监督机关，接受上级人民检察院的领导，对县人民代表大会及其常务委员会负责并报告工作。其主要职责是：</w:t>
      </w:r>
    </w:p>
    <w:p>
      <w:pPr>
        <w:keepNext w:val="0"/>
        <w:keepLines w:val="0"/>
        <w:pageBreakBefore w:val="0"/>
        <w:widowControl w:val="0"/>
        <w:kinsoku/>
        <w:wordWrap/>
        <w:overflowPunct/>
        <w:topLinePunct w:val="0"/>
        <w:autoSpaceDE w:val="0"/>
        <w:autoSpaceDN w:val="0"/>
        <w:bidi w:val="0"/>
        <w:adjustRightInd w:val="0"/>
        <w:snapToGrid/>
        <w:spacing w:line="360" w:lineRule="auto"/>
        <w:ind w:firstLine="800" w:firstLineChars="25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（一）深入贯彻习近平新时代中国特色社会主义思想，深入贯彻党的路线方针政策和决策部署，坚持党对检察工作的绝对领导，坚决维护习近平总书记的核心地位，坚决维护党中央权威和集中统一领导。</w:t>
      </w:r>
    </w:p>
    <w:p>
      <w:pPr>
        <w:keepNext w:val="0"/>
        <w:keepLines w:val="0"/>
        <w:pageBreakBefore w:val="0"/>
        <w:widowControl w:val="0"/>
        <w:kinsoku/>
        <w:wordWrap/>
        <w:overflowPunct/>
        <w:topLinePunct w:val="0"/>
        <w:autoSpaceDE w:val="0"/>
        <w:autoSpaceDN w:val="0"/>
        <w:bidi w:val="0"/>
        <w:adjustRightInd w:val="0"/>
        <w:snapToGrid/>
        <w:spacing w:line="360" w:lineRule="auto"/>
        <w:ind w:firstLine="800" w:firstLineChars="25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（二）贯彻落实上级人民检察院的各项工作部署，研究制定检察工作规划，部署检察工作任务。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800" w:firstLineChars="25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（三）依照法律规定对由县人民检察院直接受理的刑事案件行使侦查权。</w:t>
      </w:r>
    </w:p>
    <w:p>
      <w:pPr>
        <w:keepNext w:val="0"/>
        <w:keepLines w:val="0"/>
        <w:pageBreakBefore w:val="0"/>
        <w:widowControl w:val="0"/>
        <w:kinsoku/>
        <w:wordWrap/>
        <w:overflowPunct/>
        <w:topLinePunct w:val="0"/>
        <w:autoSpaceDE w:val="0"/>
        <w:autoSpaceDN w:val="0"/>
        <w:bidi w:val="0"/>
        <w:adjustRightInd w:val="0"/>
        <w:snapToGrid/>
        <w:spacing w:line="360" w:lineRule="auto"/>
        <w:ind w:firstLine="800" w:firstLineChars="25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（四）对刑事案件依法审査批准逮捕、决定逮捕、提起公诉。</w:t>
      </w:r>
    </w:p>
    <w:p>
      <w:pPr>
        <w:keepNext w:val="0"/>
        <w:keepLines w:val="0"/>
        <w:pageBreakBefore w:val="0"/>
        <w:widowControl w:val="0"/>
        <w:kinsoku/>
        <w:wordWrap/>
        <w:overflowPunct/>
        <w:topLinePunct w:val="0"/>
        <w:autoSpaceDE w:val="0"/>
        <w:autoSpaceDN w:val="0"/>
        <w:bidi w:val="0"/>
        <w:adjustRightInd w:val="0"/>
        <w:snapToGrid/>
        <w:spacing w:line="360" w:lineRule="auto"/>
        <w:ind w:firstLine="800" w:firstLineChars="25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（五）负责应由县人民检察院承办的刑事、民事、行政诉讼活动及刑事、民事、行政判决和裁定等生效法律文书执行的法律监督工作。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800" w:firstLineChars="25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（六）负责应由县人民检察院承办的提起公益诉讼工作。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800" w:firstLineChars="25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（七）负责应由县人民检察院承办的对看守所、社区矫正机构等执法活动的法律监督工作。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800" w:firstLineChars="25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（八）受理向县人民检察院的控告申诉。</w:t>
      </w:r>
    </w:p>
    <w:p>
      <w:pPr>
        <w:keepNext w:val="0"/>
        <w:keepLines w:val="0"/>
        <w:pageBreakBefore w:val="0"/>
        <w:widowControl w:val="0"/>
        <w:kinsoku/>
        <w:wordWrap/>
        <w:overflowPunct/>
        <w:topLinePunct w:val="0"/>
        <w:autoSpaceDE w:val="0"/>
        <w:autoSpaceDN w:val="0"/>
        <w:bidi w:val="0"/>
        <w:adjustRightInd w:val="0"/>
        <w:snapToGrid/>
        <w:spacing w:line="360" w:lineRule="auto"/>
        <w:ind w:firstLine="800" w:firstLineChars="25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（九）负责检察机关的理论研究工作。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800" w:firstLineChars="25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（十）负责检察机关队伍建设和思想政治工作。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800" w:firstLineChars="25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（十一）负责检务督察工作。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800" w:firstLineChars="25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（十二）负责检察机关财物装备和检察技术信息工作。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800" w:firstLineChars="25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（十三）负责其他应当由县人民检察院承办的事项。</w:t>
      </w:r>
    </w:p>
    <w:p>
      <w:pPr>
        <w:widowControl/>
        <w:spacing w:line="600" w:lineRule="exact"/>
        <w:ind w:firstLine="960" w:firstLineChars="300"/>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keepNext w:val="0"/>
        <w:keepLines w:val="0"/>
        <w:pageBreakBefore w:val="0"/>
        <w:widowControl w:val="0"/>
        <w:kinsoku/>
        <w:wordWrap/>
        <w:overflowPunct/>
        <w:topLinePunct w:val="0"/>
        <w:autoSpaceDE w:val="0"/>
        <w:autoSpaceDN w:val="0"/>
        <w:bidi w:val="0"/>
        <w:adjustRightInd w:val="0"/>
        <w:snapToGrid/>
        <w:spacing w:line="360" w:lineRule="auto"/>
        <w:ind w:firstLine="800" w:firstLineChars="25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（一）内设机构设置。</w:t>
      </w:r>
    </w:p>
    <w:p>
      <w:pPr>
        <w:keepNext w:val="0"/>
        <w:keepLines w:val="0"/>
        <w:pageBreakBefore w:val="0"/>
        <w:widowControl w:val="0"/>
        <w:kinsoku/>
        <w:wordWrap/>
        <w:overflowPunct/>
        <w:topLinePunct w:val="0"/>
        <w:autoSpaceDE w:val="0"/>
        <w:autoSpaceDN w:val="0"/>
        <w:bidi w:val="0"/>
        <w:adjustRightInd w:val="0"/>
        <w:snapToGrid/>
        <w:spacing w:line="360" w:lineRule="auto"/>
        <w:ind w:firstLine="800" w:firstLineChars="250"/>
        <w:jc w:val="left"/>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双峰县人民检察院内设机构包括：办公室、第一检察部、第二检察部、第三检察部、第四检察部、第五检察部、第六检察部、政治部(司法警察大队)</w:t>
      </w:r>
      <w:r>
        <w:rPr>
          <w:rFonts w:hint="eastAsia" w:ascii="仿宋_GB2312" w:hAnsi="仿宋_GB2312" w:eastAsia="仿宋_GB2312" w:cs="仿宋_GB2312"/>
          <w:color w:val="000000"/>
          <w:kern w:val="0"/>
          <w:sz w:val="32"/>
          <w:szCs w:val="32"/>
          <w:lang w:eastAsia="zh-CN"/>
        </w:rPr>
        <w:t>，共</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lang w:eastAsia="zh-CN"/>
        </w:rPr>
        <w:t>个内设部门。</w:t>
      </w:r>
    </w:p>
    <w:p>
      <w:pPr>
        <w:keepNext w:val="0"/>
        <w:keepLines w:val="0"/>
        <w:pageBreakBefore w:val="0"/>
        <w:widowControl w:val="0"/>
        <w:kinsoku/>
        <w:wordWrap/>
        <w:overflowPunct/>
        <w:topLinePunct w:val="0"/>
        <w:autoSpaceDE w:val="0"/>
        <w:autoSpaceDN w:val="0"/>
        <w:bidi w:val="0"/>
        <w:adjustRightInd w:val="0"/>
        <w:snapToGrid/>
        <w:spacing w:line="360" w:lineRule="auto"/>
        <w:ind w:firstLine="800" w:firstLineChars="25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rPr>
        <w:t>决算单位构成。</w:t>
      </w:r>
    </w:p>
    <w:p>
      <w:pPr>
        <w:keepNext w:val="0"/>
        <w:keepLines w:val="0"/>
        <w:pageBreakBefore w:val="0"/>
        <w:widowControl w:val="0"/>
        <w:kinsoku/>
        <w:wordWrap/>
        <w:overflowPunct/>
        <w:topLinePunct w:val="0"/>
        <w:autoSpaceDE w:val="0"/>
        <w:autoSpaceDN w:val="0"/>
        <w:bidi w:val="0"/>
        <w:adjustRightInd w:val="0"/>
        <w:snapToGrid/>
        <w:spacing w:line="360" w:lineRule="auto"/>
        <w:ind w:firstLine="800" w:firstLineChars="25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双峰县人民检察院2022年部门决算汇公开单位构成包括：双峰县人民检察院本级。</w:t>
      </w:r>
    </w:p>
    <w:p>
      <w:pPr>
        <w:widowControl/>
        <w:spacing w:line="600" w:lineRule="exact"/>
        <w:rPr>
          <w:rFonts w:ascii="仿宋_GB2312" w:hAnsi="宋体" w:eastAsia="仿宋_GB2312"/>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20"/>
        <w:jc w:val="center"/>
        <w:rPr>
          <w:rFonts w:ascii="方正小标宋_GBK" w:hAnsi="方正小标宋_GBK" w:eastAsia="方正小标宋_GBK" w:cs="方正小标宋_GBK"/>
          <w:sz w:val="84"/>
          <w:szCs w:val="84"/>
        </w:rPr>
      </w:pPr>
    </w:p>
    <w:p>
      <w:pPr>
        <w:pStyle w:val="20"/>
        <w:jc w:val="center"/>
        <w:rPr>
          <w:rFonts w:ascii="方正小标宋_GBK" w:hAnsi="方正小标宋_GBK" w:eastAsia="方正小标宋_GBK" w:cs="方正小标宋_GBK"/>
          <w:sz w:val="84"/>
          <w:szCs w:val="84"/>
        </w:rPr>
      </w:pPr>
    </w:p>
    <w:p>
      <w:pPr>
        <w:pStyle w:val="20"/>
        <w:jc w:val="center"/>
        <w:rPr>
          <w:rFonts w:ascii="方正小标宋_GBK" w:hAnsi="方正小标宋_GBK" w:eastAsia="方正小标宋_GBK" w:cs="方正小标宋_GBK"/>
          <w:sz w:val="84"/>
          <w:szCs w:val="84"/>
        </w:rPr>
      </w:pPr>
    </w:p>
    <w:p>
      <w:pPr>
        <w:pStyle w:val="2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20"/>
        <w:jc w:val="center"/>
        <w:rPr>
          <w:rFonts w:ascii="方正小标宋_GBK" w:hAnsi="方正小标宋_GBK" w:eastAsia="方正小标宋_GBK" w:cs="方正小标宋_GBK"/>
          <w:sz w:val="84"/>
          <w:szCs w:val="84"/>
        </w:rPr>
      </w:pPr>
    </w:p>
    <w:p>
      <w:pPr>
        <w:pStyle w:val="2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宋体"/>
          <w:sz w:val="32"/>
          <w:szCs w:val="32"/>
        </w:rPr>
        <w:sectPr>
          <w:headerReference r:id="rId3" w:type="default"/>
          <w:pgSz w:w="11906" w:h="16838"/>
          <w:pgMar w:top="720" w:right="720" w:bottom="720" w:left="720" w:header="851" w:footer="992" w:gutter="0"/>
          <w:cols w:space="425" w:num="1"/>
          <w:docGrid w:type="lines" w:linePitch="312" w:charSpace="0"/>
        </w:sectPr>
      </w:pPr>
    </w:p>
    <w:p>
      <w:pPr>
        <w:ind w:firstLine="0" w:firstLineChars="0"/>
        <w:jc w:val="left"/>
        <w:sectPr>
          <w:pgSz w:w="16838" w:h="11906" w:orient="landscape"/>
          <w:pgMar w:top="720" w:right="720" w:bottom="720" w:left="720" w:header="851" w:footer="992" w:gutter="0"/>
          <w:cols w:space="425" w:num="1"/>
          <w:docGrid w:type="lines" w:linePitch="312" w:charSpace="0"/>
        </w:sectPr>
      </w:pPr>
      <w:r>
        <w:rPr>
          <w:rFonts w:hint="eastAsia"/>
          <w:lang w:val="en-US" w:eastAsia="zh-CN"/>
        </w:rPr>
        <w:t xml:space="preserve">                 </w:t>
      </w:r>
      <w:r>
        <w:drawing>
          <wp:inline distT="0" distB="0" distL="114300" distR="114300">
            <wp:extent cx="7548880" cy="6423025"/>
            <wp:effectExtent l="0" t="0" r="13970" b="1587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5"/>
                    <a:stretch>
                      <a:fillRect/>
                    </a:stretch>
                  </pic:blipFill>
                  <pic:spPr>
                    <a:xfrm>
                      <a:off x="0" y="0"/>
                      <a:ext cx="7548880" cy="642302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9776460" cy="5310505"/>
            <wp:effectExtent l="0" t="0" r="15240" b="444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6"/>
                    <a:stretch>
                      <a:fillRect/>
                    </a:stretch>
                  </pic:blipFill>
                  <pic:spPr>
                    <a:xfrm>
                      <a:off x="0" y="0"/>
                      <a:ext cx="9776460" cy="5310505"/>
                    </a:xfrm>
                    <a:prstGeom prst="rect">
                      <a:avLst/>
                    </a:prstGeom>
                    <a:noFill/>
                    <a:ln>
                      <a:noFill/>
                    </a:ln>
                  </pic:spPr>
                </pic:pic>
              </a:graphicData>
            </a:graphic>
          </wp:inline>
        </w:drawing>
      </w:r>
      <w:r>
        <w:drawing>
          <wp:inline distT="0" distB="0" distL="114300" distR="114300">
            <wp:extent cx="9772015" cy="5934075"/>
            <wp:effectExtent l="0" t="0" r="635" b="952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7"/>
                    <a:stretch>
                      <a:fillRect/>
                    </a:stretch>
                  </pic:blipFill>
                  <pic:spPr>
                    <a:xfrm>
                      <a:off x="0" y="0"/>
                      <a:ext cx="9772015" cy="593407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9608820" cy="6717030"/>
            <wp:effectExtent l="0" t="0" r="11430" b="762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8"/>
                    <a:stretch>
                      <a:fillRect/>
                    </a:stretch>
                  </pic:blipFill>
                  <pic:spPr>
                    <a:xfrm>
                      <a:off x="0" y="0"/>
                      <a:ext cx="9608820" cy="671703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8115300" cy="5876925"/>
            <wp:effectExtent l="0" t="0" r="0" b="9525"/>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9"/>
                    <a:stretch>
                      <a:fillRect/>
                    </a:stretch>
                  </pic:blipFill>
                  <pic:spPr>
                    <a:xfrm>
                      <a:off x="0" y="0"/>
                      <a:ext cx="8115300" cy="5876925"/>
                    </a:xfrm>
                    <a:prstGeom prst="rect">
                      <a:avLst/>
                    </a:prstGeom>
                    <a:noFill/>
                    <a:ln>
                      <a:noFill/>
                    </a:ln>
                  </pic:spPr>
                </pic:pic>
              </a:graphicData>
            </a:graphic>
          </wp:inline>
        </w:drawing>
      </w:r>
      <w:r>
        <w:drawing>
          <wp:inline distT="0" distB="0" distL="114300" distR="114300">
            <wp:extent cx="9774555" cy="5972810"/>
            <wp:effectExtent l="0" t="0" r="17145" b="8890"/>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10"/>
                    <a:stretch>
                      <a:fillRect/>
                    </a:stretch>
                  </pic:blipFill>
                  <pic:spPr>
                    <a:xfrm>
                      <a:off x="0" y="0"/>
                      <a:ext cx="9774555" cy="5972810"/>
                    </a:xfrm>
                    <a:prstGeom prst="rect">
                      <a:avLst/>
                    </a:prstGeom>
                    <a:noFill/>
                    <a:ln>
                      <a:noFill/>
                    </a:ln>
                  </pic:spPr>
                </pic:pic>
              </a:graphicData>
            </a:graphic>
          </wp:inline>
        </w:drawing>
      </w:r>
      <w:r>
        <w:drawing>
          <wp:inline distT="0" distB="0" distL="114300" distR="114300">
            <wp:extent cx="9534525" cy="248602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pic:cNvPicPr>
                  </pic:nvPicPr>
                  <pic:blipFill>
                    <a:blip r:embed="rId11"/>
                    <a:stretch>
                      <a:fillRect/>
                    </a:stretch>
                  </pic:blipFill>
                  <pic:spPr>
                    <a:xfrm>
                      <a:off x="0" y="0"/>
                      <a:ext cx="9534525" cy="2486025"/>
                    </a:xfrm>
                    <a:prstGeom prst="rect">
                      <a:avLst/>
                    </a:prstGeom>
                    <a:noFill/>
                    <a:ln>
                      <a:noFill/>
                    </a:ln>
                  </pic:spPr>
                </pic:pic>
              </a:graphicData>
            </a:graphic>
          </wp:inline>
        </w:drawing>
      </w:r>
    </w:p>
    <w:p>
      <w:pPr>
        <w:jc w:val="left"/>
        <w:sectPr>
          <w:pgSz w:w="16838" w:h="11906" w:orient="landscape"/>
          <w:pgMar w:top="720" w:right="720" w:bottom="720" w:left="720" w:header="851" w:footer="992" w:gutter="0"/>
          <w:cols w:space="425" w:num="1"/>
          <w:docGrid w:type="lines" w:linePitch="312" w:charSpace="0"/>
        </w:sectPr>
      </w:pPr>
      <w:r>
        <w:rPr>
          <w:rFonts w:hint="eastAsia"/>
          <w:lang w:val="en-US" w:eastAsia="zh-CN"/>
        </w:rPr>
        <w:t xml:space="preserve">              </w:t>
      </w:r>
      <w:r>
        <w:drawing>
          <wp:inline distT="0" distB="0" distL="114300" distR="114300">
            <wp:extent cx="7648575" cy="20097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7648575" cy="2009775"/>
                    </a:xfrm>
                    <a:prstGeom prst="rect">
                      <a:avLst/>
                    </a:prstGeom>
                    <a:noFill/>
                    <a:ln>
                      <a:noFill/>
                    </a:ln>
                  </pic:spPr>
                </pic:pic>
              </a:graphicData>
            </a:graphic>
          </wp:inline>
        </w:drawing>
      </w:r>
    </w:p>
    <w:p>
      <w:pPr>
        <w:jc w:val="left"/>
      </w:pPr>
    </w:p>
    <w:p>
      <w:pPr>
        <w:jc w:val="left"/>
        <w:rPr>
          <w:rFonts w:hint="eastAsia"/>
          <w:lang w:val="en-US" w:eastAsia="zh-CN"/>
        </w:rPr>
      </w:pPr>
      <w:r>
        <w:rPr>
          <w:rFonts w:hint="eastAsia"/>
          <w:lang w:val="en-US" w:eastAsia="zh-CN"/>
        </w:rPr>
        <w:t xml:space="preserve">     </w:t>
      </w:r>
    </w:p>
    <w:p>
      <w:pPr>
        <w:jc w:val="left"/>
        <w:rPr>
          <w:rFonts w:hint="default"/>
          <w:lang w:val="en-US" w:eastAsia="zh-CN"/>
        </w:rPr>
      </w:pPr>
      <w:r>
        <w:rPr>
          <w:rFonts w:hint="eastAsia"/>
          <w:lang w:val="en-US" w:eastAsia="zh-CN"/>
        </w:rPr>
        <w:t xml:space="preserve">                                                                                                                                                     </w:t>
      </w:r>
    </w:p>
    <w:p>
      <w:pPr>
        <w:jc w:val="left"/>
        <w:rPr>
          <w:rFonts w:ascii="黑体" w:hAnsi="宋体" w:eastAsia="黑体" w:cs="黑体"/>
          <w:color w:val="000000"/>
          <w:sz w:val="24"/>
          <w:szCs w:val="24"/>
        </w:rPr>
        <w:sectPr>
          <w:pgSz w:w="16838" w:h="11906" w:orient="landscape"/>
          <w:pgMar w:top="720" w:right="720" w:bottom="720" w:left="720" w:header="851" w:footer="992" w:gutter="0"/>
          <w:cols w:space="425" w:num="1"/>
          <w:docGrid w:type="lines" w:linePitch="312" w:charSpace="0"/>
        </w:sectPr>
      </w:pPr>
      <w:r>
        <w:drawing>
          <wp:inline distT="0" distB="0" distL="114300" distR="114300">
            <wp:extent cx="9775190" cy="2138680"/>
            <wp:effectExtent l="0" t="0" r="16510" b="13970"/>
            <wp:docPr id="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pic:cNvPicPr>
                      <a:picLocks noChangeAspect="1"/>
                    </pic:cNvPicPr>
                  </pic:nvPicPr>
                  <pic:blipFill>
                    <a:blip r:embed="rId13"/>
                    <a:stretch>
                      <a:fillRect/>
                    </a:stretch>
                  </pic:blipFill>
                  <pic:spPr>
                    <a:xfrm>
                      <a:off x="0" y="0"/>
                      <a:ext cx="9775190" cy="2138680"/>
                    </a:xfrm>
                    <a:prstGeom prst="rect">
                      <a:avLst/>
                    </a:prstGeom>
                    <a:noFill/>
                    <a:ln>
                      <a:noFill/>
                    </a:ln>
                  </pic:spPr>
                </pic:pic>
              </a:graphicData>
            </a:graphic>
          </wp:inline>
        </w:drawing>
      </w:r>
    </w:p>
    <w:p>
      <w:pPr>
        <w:pStyle w:val="20"/>
        <w:jc w:val="both"/>
      </w:pPr>
    </w:p>
    <w:p>
      <w:pPr>
        <w:pStyle w:val="20"/>
        <w:ind w:firstLine="2400" w:firstLineChars="1000"/>
        <w:jc w:val="both"/>
      </w:pPr>
    </w:p>
    <w:p>
      <w:pPr>
        <w:pStyle w:val="20"/>
        <w:ind w:firstLine="2400" w:firstLineChars="1000"/>
        <w:jc w:val="both"/>
      </w:pPr>
    </w:p>
    <w:p>
      <w:pPr>
        <w:pStyle w:val="20"/>
        <w:ind w:firstLine="2400" w:firstLineChars="1000"/>
        <w:jc w:val="both"/>
      </w:pPr>
    </w:p>
    <w:p>
      <w:pPr>
        <w:pStyle w:val="20"/>
        <w:ind w:firstLine="2400" w:firstLineChars="1000"/>
        <w:jc w:val="both"/>
      </w:pPr>
    </w:p>
    <w:p>
      <w:pPr>
        <w:pStyle w:val="20"/>
        <w:ind w:firstLine="2400" w:firstLineChars="1000"/>
        <w:jc w:val="both"/>
      </w:pPr>
    </w:p>
    <w:p>
      <w:pPr>
        <w:pStyle w:val="20"/>
        <w:ind w:firstLine="2400" w:firstLineChars="1000"/>
        <w:jc w:val="both"/>
      </w:pPr>
    </w:p>
    <w:p>
      <w:pPr>
        <w:pStyle w:val="20"/>
        <w:ind w:firstLine="2400" w:firstLineChars="1000"/>
        <w:jc w:val="both"/>
      </w:pPr>
    </w:p>
    <w:p>
      <w:pPr>
        <w:pStyle w:val="20"/>
        <w:ind w:firstLine="2400" w:firstLineChars="1000"/>
        <w:jc w:val="both"/>
      </w:pPr>
    </w:p>
    <w:p>
      <w:pPr>
        <w:pStyle w:val="20"/>
        <w:ind w:firstLine="2400" w:firstLineChars="1000"/>
        <w:jc w:val="both"/>
      </w:pPr>
    </w:p>
    <w:p>
      <w:pPr>
        <w:pStyle w:val="20"/>
        <w:ind w:firstLine="2400" w:firstLineChars="1000"/>
        <w:jc w:val="both"/>
      </w:pPr>
    </w:p>
    <w:p>
      <w:pPr>
        <w:pStyle w:val="20"/>
        <w:ind w:firstLine="2400" w:firstLineChars="1000"/>
        <w:jc w:val="both"/>
      </w:pPr>
    </w:p>
    <w:p>
      <w:pPr>
        <w:pStyle w:val="20"/>
        <w:ind w:firstLine="2400" w:firstLineChars="1000"/>
        <w:jc w:val="both"/>
      </w:pPr>
    </w:p>
    <w:p>
      <w:pPr>
        <w:pStyle w:val="20"/>
        <w:ind w:firstLine="2400" w:firstLineChars="1000"/>
        <w:jc w:val="both"/>
      </w:pPr>
    </w:p>
    <w:p>
      <w:pPr>
        <w:pStyle w:val="20"/>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20"/>
        <w:jc w:val="center"/>
        <w:rPr>
          <w:rFonts w:ascii="方正小标宋_GBK" w:hAnsi="方正小标宋_GBK" w:eastAsia="方正小标宋_GBK" w:cs="方正小标宋_GBK"/>
          <w:sz w:val="70"/>
          <w:szCs w:val="70"/>
        </w:rPr>
      </w:pPr>
    </w:p>
    <w:p>
      <w:pPr>
        <w:pStyle w:val="20"/>
        <w:jc w:val="center"/>
        <w:rPr>
          <w:rFonts w:hint="eastAsia" w:ascii="宋体" w:eastAsia="方正小标宋_GBK"/>
          <w:sz w:val="32"/>
          <w:szCs w:val="32"/>
          <w:lang w:eastAsia="zh-CN"/>
        </w:rPr>
        <w:sectPr>
          <w:pgSz w:w="11906" w:h="16838"/>
          <w:pgMar w:top="720" w:right="720" w:bottom="720" w:left="720" w:header="851" w:footer="992" w:gutter="0"/>
          <w:cols w:space="425" w:num="1"/>
          <w:docGrid w:type="linesAndChars" w:linePitch="312" w:charSpace="0"/>
        </w:sectPr>
      </w:pPr>
      <w:r>
        <w:rPr>
          <w:rFonts w:ascii="方正小标宋_GBK" w:hAnsi="方正小标宋_GBK" w:eastAsia="方正小标宋_GBK" w:cs="方正小标宋_GBK"/>
          <w:sz w:val="70"/>
          <w:szCs w:val="70"/>
        </w:rPr>
        <w:t>2022</w:t>
      </w:r>
      <w:r>
        <w:rPr>
          <w:rFonts w:hint="eastAsia" w:ascii="方正小标宋_GBK" w:hAnsi="方正小标宋_GBK" w:eastAsia="方正小标宋_GBK" w:cs="方正小标宋_GBK"/>
          <w:sz w:val="70"/>
          <w:szCs w:val="70"/>
        </w:rPr>
        <w:t>年度部门决算情况说</w:t>
      </w:r>
      <w:r>
        <w:rPr>
          <w:rFonts w:hint="eastAsia" w:ascii="方正小标宋_GBK" w:hAnsi="方正小标宋_GBK" w:eastAsia="方正小标宋_GBK" w:cs="方正小标宋_GBK"/>
          <w:sz w:val="70"/>
          <w:szCs w:val="70"/>
          <w:lang w:eastAsia="zh-CN"/>
        </w:rPr>
        <w:t>明</w:t>
      </w:r>
    </w:p>
    <w:p>
      <w:pPr>
        <w:pStyle w:val="20"/>
        <w:spacing w:line="600" w:lineRule="exact"/>
        <w:ind w:firstLine="640" w:firstLineChars="200"/>
        <w:rPr>
          <w:rFonts w:hAnsi="黑体"/>
          <w:bCs/>
          <w:sz w:val="32"/>
          <w:szCs w:val="32"/>
        </w:rPr>
      </w:pPr>
      <w:r>
        <w:rPr>
          <w:rFonts w:hint="eastAsia" w:hAnsi="黑体"/>
          <w:bCs/>
          <w:sz w:val="32"/>
          <w:szCs w:val="32"/>
          <w:lang w:eastAsia="zh-CN"/>
        </w:rPr>
        <w:t>一、</w:t>
      </w:r>
      <w:r>
        <w:rPr>
          <w:rFonts w:hint="eastAsia" w:hAnsi="黑体"/>
          <w:bCs/>
          <w:sz w:val="32"/>
          <w:szCs w:val="32"/>
        </w:rPr>
        <w:t>收入支出决算总体情况说明</w:t>
      </w:r>
    </w:p>
    <w:p>
      <w:pPr>
        <w:pStyle w:val="2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2022年度收、支总计1933.25万元。与上年相比，减少46.01万元，减少2.23%，主要是因为</w:t>
      </w:r>
      <w:r>
        <w:rPr>
          <w:rFonts w:hint="eastAsia" w:ascii="仿宋_GB2312" w:hAnsi="仿宋_GB2312" w:eastAsia="仿宋_GB2312" w:cs="仿宋_GB2312"/>
          <w:sz w:val="32"/>
          <w:szCs w:val="32"/>
          <w:lang w:val="en-US" w:eastAsia="zh-CN"/>
        </w:rPr>
        <w:t>2022年年末</w:t>
      </w:r>
      <w:r>
        <w:rPr>
          <w:rFonts w:hint="eastAsia" w:ascii="仿宋_GB2312" w:hAnsi="仿宋_GB2312" w:eastAsia="仿宋_GB2312" w:cs="仿宋_GB2312"/>
          <w:sz w:val="32"/>
          <w:szCs w:val="32"/>
        </w:rPr>
        <w:t>地方财政尚未拨付我院2021年度地方性奖励津贴和老干经费。</w:t>
      </w:r>
    </w:p>
    <w:p>
      <w:pPr>
        <w:pStyle w:val="20"/>
        <w:spacing w:line="600" w:lineRule="exact"/>
        <w:ind w:firstLine="640" w:firstLineChars="200"/>
        <w:rPr>
          <w:rFonts w:hAnsi="黑体"/>
          <w:bCs/>
          <w:sz w:val="32"/>
          <w:szCs w:val="32"/>
        </w:rPr>
      </w:pPr>
      <w:r>
        <w:rPr>
          <w:rFonts w:hint="eastAsia" w:hAnsi="黑体"/>
          <w:bCs/>
          <w:sz w:val="32"/>
          <w:szCs w:val="32"/>
        </w:rPr>
        <w:t>二、收入决算情况说明</w:t>
      </w:r>
    </w:p>
    <w:p>
      <w:pPr>
        <w:pStyle w:val="2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2022年度收入合计</w:t>
      </w:r>
      <w:r>
        <w:rPr>
          <w:rFonts w:hint="eastAsia" w:ascii="仿宋_GB2312" w:hAnsi="仿宋_GB2312" w:eastAsia="仿宋_GB2312" w:cs="仿宋_GB2312"/>
          <w:sz w:val="32"/>
          <w:szCs w:val="32"/>
          <w:lang w:val="en-US" w:eastAsia="zh-CN"/>
        </w:rPr>
        <w:t>1774.13</w:t>
      </w:r>
      <w:r>
        <w:rPr>
          <w:rFonts w:hint="eastAsia" w:ascii="仿宋_GB2312" w:hAnsi="仿宋_GB2312" w:eastAsia="仿宋_GB2312" w:cs="仿宋_GB2312"/>
          <w:sz w:val="32"/>
          <w:szCs w:val="32"/>
        </w:rPr>
        <w:t>万元，其中：财政拨款收入1754万元，占</w:t>
      </w:r>
      <w:r>
        <w:rPr>
          <w:rFonts w:hint="eastAsia" w:ascii="仿宋_GB2312" w:hAnsi="仿宋_GB2312" w:eastAsia="仿宋_GB2312" w:cs="仿宋_GB2312"/>
          <w:sz w:val="32"/>
          <w:szCs w:val="32"/>
          <w:lang w:val="en-US" w:eastAsia="zh-CN"/>
        </w:rPr>
        <w:t>98.87</w:t>
      </w:r>
      <w:r>
        <w:rPr>
          <w:rFonts w:hint="eastAsia" w:ascii="仿宋_GB2312" w:hAnsi="仿宋_GB2312" w:eastAsia="仿宋_GB2312" w:cs="仿宋_GB2312"/>
          <w:sz w:val="32"/>
          <w:szCs w:val="32"/>
        </w:rPr>
        <w:t>%；其他收入20.13万元，占1.</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w:t>
      </w:r>
    </w:p>
    <w:p>
      <w:pPr>
        <w:pStyle w:val="20"/>
        <w:spacing w:line="600" w:lineRule="exact"/>
        <w:ind w:firstLine="640" w:firstLineChars="200"/>
        <w:rPr>
          <w:rFonts w:hAnsi="黑体"/>
          <w:bCs/>
          <w:sz w:val="32"/>
          <w:szCs w:val="32"/>
        </w:rPr>
      </w:pPr>
      <w:r>
        <w:rPr>
          <w:rFonts w:hint="eastAsia" w:hAnsi="黑体"/>
          <w:bCs/>
          <w:sz w:val="32"/>
          <w:szCs w:val="32"/>
        </w:rPr>
        <w:t>三、支出决算情况说明</w:t>
      </w:r>
    </w:p>
    <w:p>
      <w:pPr>
        <w:pStyle w:val="2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2022年度支出合计1808.96万元，其中：基本支出1536.78万元，占84.95%；项目支出272.18万元，占15.05%。</w:t>
      </w:r>
    </w:p>
    <w:p>
      <w:pPr>
        <w:pStyle w:val="20"/>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pPr>
        <w:pStyle w:val="20"/>
        <w:spacing w:line="600" w:lineRule="exact"/>
        <w:rPr>
          <w:rFonts w:hint="eastAsia" w:ascii="仿宋_GB2312" w:hAnsi="仿宋_GB2312" w:eastAsia="仿宋_GB2312" w:cs="仿宋_GB2312"/>
          <w:sz w:val="32"/>
          <w:szCs w:val="32"/>
        </w:rPr>
      </w:pPr>
      <w:r>
        <w:rPr>
          <w:rFonts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2022年度财政拨款收、支总计</w:t>
      </w:r>
      <w:r>
        <w:rPr>
          <w:rFonts w:hint="eastAsia" w:ascii="仿宋_GB2312" w:hAnsi="仿宋_GB2312" w:eastAsia="仿宋_GB2312" w:cs="仿宋_GB2312"/>
          <w:sz w:val="32"/>
          <w:szCs w:val="32"/>
          <w:lang w:val="en-US" w:eastAsia="zh-CN"/>
        </w:rPr>
        <w:t>1866</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193.81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11.59</w:t>
      </w:r>
      <w:r>
        <w:rPr>
          <w:rFonts w:hint="eastAsia" w:ascii="仿宋_GB2312" w:hAnsi="仿宋_GB2312" w:eastAsia="仿宋_GB2312" w:cs="仿宋_GB2312"/>
          <w:sz w:val="32"/>
          <w:szCs w:val="32"/>
        </w:rPr>
        <w:t>%，主要是因为2022年度我院完成了上年度结转的办公楼电梯改造、未检办案工作区项</w:t>
      </w:r>
      <w:r>
        <w:rPr>
          <w:rFonts w:hint="eastAsia" w:ascii="仿宋_GB2312" w:hAnsi="仿宋_GB2312" w:eastAsia="仿宋_GB2312" w:cs="仿宋_GB2312"/>
          <w:sz w:val="32"/>
          <w:szCs w:val="32"/>
          <w:lang w:eastAsia="zh-CN"/>
        </w:rPr>
        <w:t>目并</w:t>
      </w:r>
      <w:r>
        <w:rPr>
          <w:rFonts w:hint="eastAsia" w:ascii="仿宋_GB2312" w:hAnsi="仿宋_GB2312" w:eastAsia="仿宋_GB2312" w:cs="仿宋_GB2312"/>
          <w:sz w:val="32"/>
          <w:szCs w:val="32"/>
        </w:rPr>
        <w:t>新增了疫情防控经费、两录设备购置、老院顶棚维修、办案经费等办案成本补偿资金项目。</w:t>
      </w:r>
    </w:p>
    <w:p>
      <w:pPr>
        <w:pStyle w:val="20"/>
        <w:spacing w:line="600" w:lineRule="exact"/>
        <w:ind w:firstLine="640" w:firstLineChars="200"/>
        <w:rPr>
          <w:rFonts w:hAnsi="黑体"/>
          <w:bCs/>
          <w:sz w:val="32"/>
          <w:szCs w:val="32"/>
        </w:rPr>
      </w:pPr>
      <w:r>
        <w:rPr>
          <w:rFonts w:hint="eastAsia" w:hAnsi="黑体"/>
          <w:bCs/>
          <w:sz w:val="32"/>
          <w:szCs w:val="32"/>
        </w:rPr>
        <w:t>五、一般公共预算财政拨款支出决算</w:t>
      </w:r>
      <w:r>
        <w:rPr>
          <w:rFonts w:hint="eastAsia" w:hAnsi="黑体"/>
          <w:b w:val="0"/>
          <w:bCs/>
          <w:sz w:val="32"/>
          <w:szCs w:val="32"/>
        </w:rPr>
        <w:t>情况说明</w:t>
      </w:r>
    </w:p>
    <w:p>
      <w:pPr>
        <w:pStyle w:val="20"/>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（一）财政拨款支出决算总体情况</w:t>
      </w:r>
    </w:p>
    <w:p>
      <w:pPr>
        <w:pStyle w:val="20"/>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度财政拨款支出1778.75万元，占本年支出合计的98.33%，与上年相比，财政拨款支出增加222.58万元，增长14.3%，主要是因为2022年度我院完成了上年度结转的办公楼电梯改造、未检办案工作区项目并新增了疫情防控经费、两录设备购置、老院顶棚维修、办案经费等办案成本补偿资金项目。</w:t>
      </w:r>
    </w:p>
    <w:p>
      <w:pPr>
        <w:pStyle w:val="20"/>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（二）财政拨款支出决算结构情况</w:t>
      </w:r>
    </w:p>
    <w:p>
      <w:pPr>
        <w:pStyle w:val="20"/>
        <w:spacing w:line="60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2022年度财政拨款支出1778.75万元，主要用于以下方面：公共安全支出1542.56万元，占86.72%；教育支出16.26万元，占0.91%;社会保障和就业支出79.5万元，占4.47%；卫生健康支出54.07万元，占3.04%；住房保障支出86.36万元，占4.86%。</w:t>
      </w:r>
    </w:p>
    <w:p>
      <w:pPr>
        <w:pStyle w:val="20"/>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（三）财政拨款支出决算具体情况</w:t>
      </w:r>
    </w:p>
    <w:p>
      <w:pPr>
        <w:pStyle w:val="20"/>
        <w:spacing w:line="60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022年度财政拨款支出年初预算数为1667万元，支出决算数为1778.75万元，完成年初预算的106.7%，其中：</w:t>
      </w:r>
    </w:p>
    <w:p>
      <w:pPr>
        <w:pStyle w:val="20"/>
        <w:spacing w:line="60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1、公共安全-检察-行政运行。</w:t>
      </w:r>
    </w:p>
    <w:p>
      <w:pPr>
        <w:pStyle w:val="20"/>
        <w:spacing w:line="600" w:lineRule="exact"/>
        <w:ind w:firstLine="800" w:firstLineChars="250"/>
        <w:rPr>
          <w:rFonts w:hint="eastAsia" w:ascii="仿宋_GB2312" w:hAnsi="仿宋" w:eastAsia="仿宋_GB2312"/>
          <w:sz w:val="32"/>
          <w:szCs w:val="32"/>
          <w:lang w:val="en-US" w:eastAsia="zh-CN"/>
        </w:rPr>
      </w:pPr>
      <w:r>
        <w:rPr>
          <w:rFonts w:hint="eastAsia" w:ascii="仿宋_GB2312" w:hAnsi="仿宋" w:eastAsia="仿宋_GB2312"/>
          <w:sz w:val="32"/>
          <w:szCs w:val="32"/>
        </w:rPr>
        <w:t>年</w:t>
      </w:r>
      <w:r>
        <w:rPr>
          <w:rFonts w:hint="eastAsia" w:ascii="仿宋_GB2312" w:hAnsi="仿宋" w:eastAsia="仿宋_GB2312"/>
          <w:sz w:val="32"/>
          <w:szCs w:val="32"/>
          <w:lang w:val="en-US" w:eastAsia="zh-CN"/>
        </w:rPr>
        <w:t>初预算为1205.17万元，支出决算为1237.08万元，完成年初预算的102.65%，决算数大于年初预算数的主要原因是：年中调整预算指标导致。</w:t>
      </w:r>
    </w:p>
    <w:p>
      <w:pPr>
        <w:pStyle w:val="20"/>
        <w:spacing w:line="60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2、公共安全-检察-一般行政管理事务。</w:t>
      </w:r>
    </w:p>
    <w:p>
      <w:pPr>
        <w:pStyle w:val="20"/>
        <w:spacing w:line="60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年初预算为189.3万元，支出决算为272.18万元，完成年初预算的143.78%，决算数大于年初预算数的主要原因是：本年度新增了疫情防控经费、两录设备购置、老院顶棚维修、办案经费等办案成本补偿资金项目。</w:t>
      </w:r>
    </w:p>
    <w:p>
      <w:pPr>
        <w:pStyle w:val="20"/>
        <w:spacing w:line="60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3、公共安全-检察-检察监督</w:t>
      </w:r>
    </w:p>
    <w:p>
      <w:pPr>
        <w:pStyle w:val="20"/>
        <w:spacing w:line="60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年初预算为33.3万元，支出决算为33.3万元，完成年初预算的100%，</w:t>
      </w:r>
    </w:p>
    <w:p>
      <w:pPr>
        <w:pStyle w:val="20"/>
        <w:spacing w:line="60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4、教育支出-进修及培训-培训支出。</w:t>
      </w:r>
    </w:p>
    <w:p>
      <w:pPr>
        <w:pStyle w:val="20"/>
        <w:spacing w:line="60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年初预算为16.26万元，支出决算为16.26万元，完成年初预算的100%。</w:t>
      </w:r>
    </w:p>
    <w:p>
      <w:pPr>
        <w:pStyle w:val="20"/>
        <w:spacing w:line="60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 xml:space="preserve"> 5、社会保障和就业支出-行政事业单位养老支出-机关事业单位基本养老保险缴费支出。</w:t>
      </w:r>
    </w:p>
    <w:p>
      <w:pPr>
        <w:pStyle w:val="20"/>
        <w:spacing w:line="60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年初预算为75.41万元，支出决算为75.25万元，完成年初预算的99.79%，决算数小于年初预算数的主要原因是社保基数的细微调整导致决算数略低于预算数。</w:t>
      </w:r>
    </w:p>
    <w:p>
      <w:pPr>
        <w:pStyle w:val="20"/>
        <w:spacing w:line="60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6、社会保障和就业支出-其他社会保障和就业支出-其他社会保障和就业支出。</w:t>
      </w:r>
    </w:p>
    <w:p>
      <w:pPr>
        <w:pStyle w:val="20"/>
        <w:spacing w:line="60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年初预算为5.4万元，支出决算为4.24万元，完成年初预算的78.52%，决算数小于年初预算数的主要原因是社保政策发生变化。</w:t>
      </w:r>
    </w:p>
    <w:p>
      <w:pPr>
        <w:pStyle w:val="20"/>
        <w:spacing w:line="60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7、卫生健康支出-行政事业单位医疗-行政单位医疗。</w:t>
      </w:r>
    </w:p>
    <w:p>
      <w:pPr>
        <w:pStyle w:val="20"/>
        <w:spacing w:line="600" w:lineRule="exact"/>
        <w:ind w:firstLine="800" w:firstLineChars="250"/>
        <w:rPr>
          <w:rFonts w:hint="eastAsia" w:ascii="仿宋_GB2312" w:hAnsi="仿宋" w:eastAsia="仿宋_GB2312"/>
          <w:sz w:val="32"/>
          <w:szCs w:val="32"/>
          <w:lang w:eastAsia="zh-CN"/>
        </w:rPr>
      </w:pPr>
      <w:r>
        <w:rPr>
          <w:rFonts w:hint="eastAsia" w:ascii="仿宋_GB2312" w:hAnsi="仿宋" w:eastAsia="仿宋_GB2312"/>
          <w:sz w:val="32"/>
          <w:szCs w:val="32"/>
        </w:rPr>
        <w:t>年初预算为41.01万元，支出决算为40.9万元，完成年初预算的99.73%。决算数小于年初预算数的主要原因是医保基数的细微调整导致决算数略低于预算数</w:t>
      </w:r>
      <w:r>
        <w:rPr>
          <w:rFonts w:hint="eastAsia" w:ascii="仿宋_GB2312" w:hAnsi="仿宋" w:eastAsia="仿宋_GB2312"/>
          <w:sz w:val="32"/>
          <w:szCs w:val="32"/>
          <w:lang w:eastAsia="zh-CN"/>
        </w:rPr>
        <w:t>。</w:t>
      </w:r>
    </w:p>
    <w:p>
      <w:pPr>
        <w:pStyle w:val="20"/>
        <w:spacing w:line="60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8、卫生健康支出-行政事业单位医疗-公务员医疗补助。</w:t>
      </w:r>
    </w:p>
    <w:p>
      <w:pPr>
        <w:pStyle w:val="20"/>
        <w:spacing w:line="60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年初预算为13.17万元，支出决算为13.17万元，完成年初预算的100%。</w:t>
      </w:r>
    </w:p>
    <w:p>
      <w:pPr>
        <w:pStyle w:val="20"/>
        <w:spacing w:line="60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lang w:val="en-US" w:eastAsia="zh-CN"/>
        </w:rPr>
        <w:t>9</w:t>
      </w:r>
      <w:r>
        <w:rPr>
          <w:rFonts w:hint="eastAsia" w:ascii="仿宋_GB2312" w:hAnsi="仿宋" w:eastAsia="仿宋_GB2312"/>
          <w:sz w:val="32"/>
          <w:szCs w:val="32"/>
        </w:rPr>
        <w:t>、住房保障支出-住房改革支出-住房公积金。</w:t>
      </w:r>
    </w:p>
    <w:p>
      <w:pPr>
        <w:pStyle w:val="20"/>
        <w:spacing w:line="600" w:lineRule="exact"/>
        <w:ind w:firstLine="800" w:firstLineChars="250"/>
        <w:rPr>
          <w:rFonts w:hAnsi="黑体"/>
          <w:bCs/>
          <w:sz w:val="32"/>
          <w:szCs w:val="32"/>
        </w:rPr>
      </w:pPr>
      <w:r>
        <w:rPr>
          <w:rFonts w:hint="eastAsia" w:ascii="仿宋_GB2312" w:hAnsi="仿宋" w:eastAsia="仿宋_GB2312"/>
          <w:sz w:val="32"/>
          <w:szCs w:val="32"/>
        </w:rPr>
        <w:t>年初预算为87.98万元，支出决算为86.36万元，完成年初预算的98.16%，决算数小于年初预算数的主要原因是住房公积金年缴费基数下降。</w:t>
      </w:r>
    </w:p>
    <w:p>
      <w:pPr>
        <w:pStyle w:val="20"/>
        <w:ind w:firstLine="640" w:firstLineChars="200"/>
        <w:jc w:val="both"/>
        <w:rPr>
          <w:rFonts w:ascii="Times New Roman" w:hAnsi="Times New Roman" w:cs="Times New Roman"/>
          <w:b w:val="0"/>
          <w:bCs/>
          <w:sz w:val="32"/>
          <w:szCs w:val="32"/>
        </w:rPr>
      </w:pPr>
      <w:r>
        <w:rPr>
          <w:rFonts w:hint="eastAsia" w:ascii="Times New Roman" w:hAnsi="Times New Roman" w:cs="Times New Roman"/>
          <w:b w:val="0"/>
          <w:bCs/>
          <w:sz w:val="32"/>
          <w:szCs w:val="32"/>
        </w:rPr>
        <w:t>六、一般公共预算财政拨款基本支出决算情况说明</w:t>
      </w:r>
    </w:p>
    <w:p>
      <w:pPr>
        <w:pStyle w:val="2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2022年度财政拨款基本支出1506.5</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万元，其中：</w:t>
      </w:r>
    </w:p>
    <w:p>
      <w:pPr>
        <w:pStyle w:val="20"/>
        <w:spacing w:line="60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人员经费922.72</w:t>
      </w:r>
      <w:r>
        <w:rPr>
          <w:rFonts w:hint="eastAsia" w:ascii="仿宋_GB2312" w:hAnsi="仿宋_GB2312" w:eastAsia="仿宋_GB2312" w:cs="仿宋_GB2312"/>
          <w:b w:val="0"/>
          <w:bCs w:val="0"/>
          <w:color w:val="000000"/>
          <w:sz w:val="32"/>
          <w:szCs w:val="32"/>
        </w:rPr>
        <w:t>万元，占基本支出的61.25%,主要包括基本工资、津贴补贴、奖金、机关事业单位基本养老保险缴费、职工基本医疗保险缴费、公务员医疗补助缴费、其他社会保障缴费、住房公积金、其他工资福利支出、生活补助、奖励金、其他对个人和家庭的补助支出</w:t>
      </w:r>
      <w:r>
        <w:rPr>
          <w:rFonts w:hint="eastAsia" w:ascii="仿宋_GB2312" w:hAnsi="仿宋_GB2312" w:eastAsia="仿宋_GB2312" w:cs="仿宋_GB2312"/>
          <w:b w:val="0"/>
          <w:bCs w:val="0"/>
          <w:color w:val="000000"/>
          <w:sz w:val="32"/>
          <w:szCs w:val="32"/>
          <w:lang w:eastAsia="zh-CN"/>
        </w:rPr>
        <w:t>。</w:t>
      </w:r>
    </w:p>
    <w:p>
      <w:pPr>
        <w:pStyle w:val="2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公用经费583.8</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万</w:t>
      </w:r>
      <w:r>
        <w:rPr>
          <w:rFonts w:hint="eastAsia" w:ascii="仿宋_GB2312" w:hAnsi="仿宋_GB2312" w:eastAsia="仿宋_GB2312" w:cs="仿宋_GB2312"/>
          <w:b w:val="0"/>
          <w:bCs w:val="0"/>
          <w:color w:val="000000"/>
          <w:sz w:val="32"/>
          <w:szCs w:val="32"/>
        </w:rPr>
        <w:t>元，占基本支出的38.75%，主要包括办公费、印刷费、水费、电费、邮电费、物业管理费、差旅费、维修（护）费、培训费、公务接待费、劳务费、工会经费、福利费、公务用车运行维护费、其他交通费用、其他商品和服务支出。</w:t>
      </w:r>
    </w:p>
    <w:p>
      <w:pPr>
        <w:pStyle w:val="20"/>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pPr>
        <w:pStyle w:val="20"/>
        <w:spacing w:line="600" w:lineRule="exact"/>
        <w:ind w:firstLine="640" w:firstLineChars="200"/>
        <w:rPr>
          <w:rFonts w:ascii="楷体" w:hAnsi="楷体" w:eastAsia="楷体" w:cs="楷体"/>
          <w:b w:val="0"/>
          <w:bCs/>
          <w:sz w:val="32"/>
          <w:szCs w:val="32"/>
        </w:rPr>
      </w:pPr>
      <w:r>
        <w:rPr>
          <w:rFonts w:hint="eastAsia" w:ascii="楷体" w:hAnsi="楷体" w:eastAsia="楷体" w:cs="楷体"/>
          <w:b w:val="0"/>
          <w:bCs/>
          <w:sz w:val="32"/>
          <w:szCs w:val="32"/>
        </w:rPr>
        <w:t>（一）“三公”经费财政拨款支出决算总体情况说明</w:t>
      </w:r>
    </w:p>
    <w:p>
      <w:pPr>
        <w:pStyle w:val="2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“三公”经费财政拨款支出预算为38.</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万元，支出决算为38.42万元，完成预算的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pPr>
        <w:pStyle w:val="20"/>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因公出国（境）费支出预算为0万元，支出决算为0万元，完成预算的100%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与上年持平。</w:t>
      </w:r>
    </w:p>
    <w:p>
      <w:pPr>
        <w:pStyle w:val="20"/>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公务接待费支出预算为7万元，支出决算为7万元，完成预算的100%，与上年相比增加2万元，增长40%,增长的主要原因是公务接待的批次和人次较去年增加。</w:t>
      </w:r>
    </w:p>
    <w:p>
      <w:pPr>
        <w:pStyle w:val="20"/>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15.12</w:t>
      </w:r>
      <w:r>
        <w:rPr>
          <w:rFonts w:hint="eastAsia" w:ascii="仿宋_GB2312" w:hAnsi="仿宋_GB2312" w:eastAsia="仿宋_GB2312" w:cs="仿宋_GB2312"/>
          <w:sz w:val="32"/>
          <w:szCs w:val="32"/>
        </w:rPr>
        <w:t>万元，支出决算为15.12万元，完成预算的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15.12</w:t>
      </w:r>
      <w:r>
        <w:rPr>
          <w:rFonts w:hint="eastAsia" w:ascii="仿宋_GB2312" w:hAnsi="仿宋_GB2312" w:eastAsia="仿宋_GB2312" w:cs="仿宋_GB2312"/>
          <w:sz w:val="32"/>
          <w:szCs w:val="32"/>
        </w:rPr>
        <w:t>万元，增长的主要原因是</w:t>
      </w:r>
      <w:r>
        <w:rPr>
          <w:rFonts w:hint="eastAsia" w:ascii="仿宋_GB2312" w:hAnsi="仿宋_GB2312" w:eastAsia="仿宋_GB2312" w:cs="仿宋_GB2312"/>
          <w:sz w:val="32"/>
          <w:szCs w:val="32"/>
          <w:lang w:eastAsia="zh-CN"/>
        </w:rPr>
        <w:t>本年度</w:t>
      </w:r>
      <w:r>
        <w:rPr>
          <w:rFonts w:hint="eastAsia" w:ascii="仿宋_GB2312" w:hAnsi="仿宋_GB2312" w:eastAsia="仿宋_GB2312" w:cs="仿宋_GB2312"/>
          <w:sz w:val="32"/>
          <w:szCs w:val="32"/>
        </w:rPr>
        <w:t>新</w:t>
      </w:r>
      <w:r>
        <w:rPr>
          <w:rFonts w:hint="eastAsia" w:ascii="仿宋_GB2312" w:hAnsi="仿宋_GB2312" w:eastAsia="仿宋_GB2312" w:cs="仿宋_GB2312"/>
          <w:sz w:val="32"/>
          <w:szCs w:val="32"/>
          <w:lang w:eastAsia="zh-CN"/>
        </w:rPr>
        <w:t>购一台</w:t>
      </w:r>
      <w:r>
        <w:rPr>
          <w:rFonts w:hint="eastAsia" w:ascii="仿宋_GB2312" w:hAnsi="仿宋_GB2312" w:eastAsia="仿宋_GB2312" w:cs="仿宋_GB2312"/>
          <w:sz w:val="32"/>
          <w:szCs w:val="32"/>
        </w:rPr>
        <w:t>公务用车。</w:t>
      </w:r>
    </w:p>
    <w:p>
      <w:pPr>
        <w:pStyle w:val="20"/>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公务用车运行维护费支出预算为1</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万元，支出决算为16.3万元，完成预算的1</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%，与上年相比减少15.2万元，减少48.25%,减少的主要原因是本年度购置了新</w:t>
      </w:r>
      <w:r>
        <w:rPr>
          <w:rFonts w:hint="eastAsia" w:ascii="仿宋_GB2312" w:hAnsi="仿宋_GB2312" w:eastAsia="仿宋_GB2312" w:cs="仿宋_GB2312"/>
          <w:sz w:val="32"/>
          <w:szCs w:val="32"/>
          <w:lang w:eastAsia="zh-CN"/>
        </w:rPr>
        <w:t>车</w:t>
      </w:r>
      <w:r>
        <w:rPr>
          <w:rFonts w:hint="eastAsia" w:ascii="仿宋_GB2312" w:hAnsi="仿宋_GB2312" w:eastAsia="仿宋_GB2312" w:cs="仿宋_GB2312"/>
          <w:sz w:val="32"/>
          <w:szCs w:val="32"/>
        </w:rPr>
        <w:t>。</w:t>
      </w:r>
    </w:p>
    <w:p>
      <w:pPr>
        <w:pStyle w:val="20"/>
        <w:spacing w:line="600" w:lineRule="exact"/>
        <w:ind w:firstLine="640" w:firstLineChars="200"/>
        <w:rPr>
          <w:rFonts w:ascii="楷体" w:hAnsi="楷体" w:eastAsia="楷体" w:cs="楷体"/>
          <w:b w:val="0"/>
          <w:bCs/>
          <w:sz w:val="32"/>
          <w:szCs w:val="32"/>
        </w:rPr>
      </w:pPr>
      <w:r>
        <w:rPr>
          <w:rFonts w:hint="eastAsia" w:ascii="楷体" w:hAnsi="楷体" w:eastAsia="楷体" w:cs="楷体"/>
          <w:b w:val="0"/>
          <w:bCs/>
          <w:sz w:val="32"/>
          <w:szCs w:val="32"/>
        </w:rPr>
        <w:t>（二）“三公”经费财政拨款支出决算具体情况说明</w:t>
      </w:r>
    </w:p>
    <w:p>
      <w:pPr>
        <w:pStyle w:val="20"/>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2022年度“三公”经费财政拨款支出决算中，公务接待费支出决算7万元，占18.22%,因公出国（境）费支出决算0</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元，占0%,公务用车购置费及运行维护费支出决算31.42万元，占81.78%。其中：</w:t>
      </w:r>
    </w:p>
    <w:p>
      <w:pPr>
        <w:pStyle w:val="20"/>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1、因公出国（境）费支出决算为0万元，全年安排因公出国（境）团组0个，累计0人次。</w:t>
      </w:r>
    </w:p>
    <w:p>
      <w:pPr>
        <w:pStyle w:val="20"/>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2、公务接待费支出决算为7万元，全年共接待来访团组76个、来宾631人次，主要是接待全</w:t>
      </w:r>
      <w:r>
        <w:rPr>
          <w:rFonts w:hint="eastAsia" w:ascii="仿宋_GB2312" w:hAnsi="仿宋_GB2312" w:eastAsia="仿宋_GB2312" w:cs="仿宋_GB2312"/>
          <w:sz w:val="32"/>
          <w:szCs w:val="32"/>
          <w:lang w:eastAsia="zh-CN"/>
        </w:rPr>
        <w:t>国</w:t>
      </w:r>
      <w:r>
        <w:rPr>
          <w:rFonts w:hint="eastAsia" w:ascii="仿宋_GB2312" w:hAnsi="仿宋_GB2312" w:eastAsia="仿宋_GB2312" w:cs="仿宋_GB2312"/>
          <w:sz w:val="32"/>
          <w:szCs w:val="32"/>
        </w:rPr>
        <w:t>各地检察机关和相关部门交流工作和协办案件等发生的接待支出。</w:t>
      </w:r>
    </w:p>
    <w:p>
      <w:pPr>
        <w:pStyle w:val="20"/>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3、公务用车购置费及运行维护费支出决算为31.42万元，其中：公务用车购置费15.12万元，更新</w:t>
      </w:r>
      <w:r>
        <w:rPr>
          <w:rFonts w:hint="eastAsia" w:ascii="仿宋_GB2312" w:hAnsi="仿宋_GB2312" w:eastAsia="仿宋_GB2312" w:cs="仿宋_GB2312"/>
          <w:sz w:val="32"/>
          <w:szCs w:val="32"/>
          <w:lang w:eastAsia="zh-CN"/>
        </w:rPr>
        <w:t>执法执勤用</w:t>
      </w:r>
      <w:bookmarkStart w:id="0" w:name="_GoBack"/>
      <w:bookmarkEnd w:id="0"/>
      <w:r>
        <w:rPr>
          <w:rFonts w:hint="eastAsia" w:ascii="仿宋_GB2312" w:hAnsi="仿宋_GB2312" w:eastAsia="仿宋_GB2312" w:cs="仿宋_GB2312"/>
          <w:sz w:val="32"/>
          <w:szCs w:val="32"/>
        </w:rPr>
        <w:t>车1辆。公务用车运行维护费16.3万元，主要是用于执法执勤车辆的燃料费、维修费、过路过桥费、年审费和保险费等支出，截止2022年12月31日，我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财政拨款</w:t>
      </w:r>
      <w:r>
        <w:rPr>
          <w:rFonts w:hint="eastAsia" w:ascii="仿宋_GB2312" w:hAnsi="仿宋_GB2312" w:eastAsia="仿宋_GB2312" w:cs="仿宋_GB2312"/>
          <w:sz w:val="32"/>
          <w:szCs w:val="32"/>
          <w:lang w:eastAsia="zh-CN"/>
        </w:rPr>
        <w:t>开支</w:t>
      </w:r>
      <w:r>
        <w:rPr>
          <w:rFonts w:hint="eastAsia" w:ascii="仿宋_GB2312" w:hAnsi="仿宋_GB2312" w:eastAsia="仿宋_GB2312" w:cs="仿宋_GB2312"/>
          <w:sz w:val="32"/>
          <w:szCs w:val="32"/>
        </w:rPr>
        <w:t>的公务用车保有量为6辆。</w:t>
      </w:r>
    </w:p>
    <w:p>
      <w:pPr>
        <w:pStyle w:val="20"/>
        <w:spacing w:line="600" w:lineRule="exact"/>
        <w:ind w:firstLine="640" w:firstLineChars="200"/>
        <w:rPr>
          <w:rFonts w:hAnsi="黑体"/>
          <w:bCs/>
          <w:sz w:val="32"/>
          <w:szCs w:val="32"/>
        </w:rPr>
      </w:pPr>
      <w:r>
        <w:rPr>
          <w:rFonts w:hint="eastAsia" w:hAnsi="黑体"/>
          <w:bCs/>
          <w:sz w:val="32"/>
          <w:szCs w:val="32"/>
        </w:rPr>
        <w:t>八、政府性基金预算收入支出决算情况</w:t>
      </w:r>
    </w:p>
    <w:p>
      <w:pPr>
        <w:pStyle w:val="9"/>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2022年度本单位无政府性基金收支。</w:t>
      </w:r>
    </w:p>
    <w:p>
      <w:pPr>
        <w:pStyle w:val="20"/>
        <w:spacing w:line="600" w:lineRule="exact"/>
        <w:ind w:firstLine="640" w:firstLineChars="200"/>
        <w:rPr>
          <w:rFonts w:hint="eastAsia" w:hAnsi="黑体"/>
          <w:bCs/>
          <w:sz w:val="32"/>
          <w:szCs w:val="32"/>
        </w:rPr>
      </w:pPr>
      <w:r>
        <w:rPr>
          <w:rFonts w:hint="eastAsia" w:hAnsi="黑体"/>
          <w:bCs/>
          <w:sz w:val="32"/>
          <w:szCs w:val="32"/>
        </w:rPr>
        <w:t>九、关于机关运行经费支出说明</w:t>
      </w:r>
    </w:p>
    <w:p>
      <w:pPr>
        <w:pStyle w:val="20"/>
        <w:spacing w:line="60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本部门2022年度机关运行经费支出583.86万元，比年初预算数增加56.16万元，增长10.64%。</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w:t>
      </w:r>
      <w:r>
        <w:rPr>
          <w:rFonts w:hint="eastAsia" w:ascii="仿宋_GB2312" w:hAnsi="仿宋_GB2312" w:eastAsia="仿宋_GB2312" w:cs="仿宋_GB2312"/>
          <w:color w:val="000000"/>
          <w:sz w:val="32"/>
          <w:szCs w:val="32"/>
        </w:rPr>
        <w:t>本年</w:t>
      </w:r>
      <w:r>
        <w:rPr>
          <w:rFonts w:hint="eastAsia" w:ascii="仿宋_GB2312" w:hAnsi="仿宋_GB2312" w:eastAsia="仿宋_GB2312" w:cs="仿宋_GB2312"/>
          <w:color w:val="000000"/>
          <w:sz w:val="32"/>
          <w:szCs w:val="32"/>
          <w:lang w:eastAsia="zh-CN"/>
        </w:rPr>
        <w:t>度</w:t>
      </w:r>
      <w:r>
        <w:rPr>
          <w:rFonts w:hint="eastAsia" w:ascii="仿宋_GB2312" w:hAnsi="仿宋_GB2312" w:eastAsia="仿宋_GB2312" w:cs="仿宋_GB2312"/>
          <w:color w:val="000000"/>
          <w:kern w:val="0"/>
          <w:sz w:val="32"/>
          <w:szCs w:val="32"/>
          <w:lang w:val="en-US" w:eastAsia="zh-CN" w:bidi="ar-SA"/>
        </w:rPr>
        <w:t>疫情防控经费和地方中心工作经费增加。</w:t>
      </w:r>
    </w:p>
    <w:p>
      <w:pPr>
        <w:pStyle w:val="20"/>
        <w:spacing w:line="600" w:lineRule="exact"/>
        <w:ind w:firstLine="640" w:firstLineChars="200"/>
        <w:rPr>
          <w:rFonts w:hAnsi="黑体"/>
          <w:bCs/>
          <w:sz w:val="32"/>
          <w:szCs w:val="32"/>
        </w:rPr>
      </w:pPr>
      <w:r>
        <w:rPr>
          <w:rFonts w:hint="eastAsia" w:hAnsi="黑体"/>
          <w:bCs/>
          <w:sz w:val="32"/>
          <w:szCs w:val="32"/>
        </w:rPr>
        <w:t>十、一般性支出情况说明</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2022年本部门开支会议费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举办节庆、晚会、论坛、赛事活动，开支</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；培</w:t>
      </w:r>
      <w:r>
        <w:rPr>
          <w:rFonts w:hint="eastAsia" w:ascii="仿宋_GB2312" w:hAnsi="仿宋_GB2312" w:eastAsia="仿宋_GB2312" w:cs="仿宋_GB2312"/>
          <w:sz w:val="32"/>
          <w:szCs w:val="32"/>
        </w:rPr>
        <w:t>训费</w:t>
      </w:r>
      <w:r>
        <w:rPr>
          <w:rFonts w:hint="eastAsia" w:ascii="仿宋_GB2312" w:hAnsi="仿宋_GB2312" w:eastAsia="仿宋_GB2312" w:cs="仿宋_GB2312"/>
          <w:sz w:val="32"/>
          <w:szCs w:val="32"/>
          <w:lang w:eastAsia="zh-CN"/>
        </w:rPr>
        <w:t>年初</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16.26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16.26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用于</w:t>
      </w:r>
      <w:r>
        <w:rPr>
          <w:rFonts w:hint="eastAsia" w:ascii="仿宋_GB2312" w:hAnsi="仿宋_GB2312" w:eastAsia="仿宋_GB2312" w:cs="仿宋_GB2312"/>
          <w:sz w:val="32"/>
          <w:szCs w:val="32"/>
          <w:lang w:eastAsia="zh-CN"/>
        </w:rPr>
        <w:t>参加</w:t>
      </w:r>
      <w:r>
        <w:rPr>
          <w:rFonts w:hint="eastAsia" w:ascii="仿宋_GB2312" w:hAnsi="仿宋_GB2312" w:eastAsia="仿宋_GB2312" w:cs="仿宋_GB2312"/>
          <w:sz w:val="32"/>
          <w:szCs w:val="32"/>
        </w:rPr>
        <w:t>省检察机关举办的业务培训</w:t>
      </w:r>
      <w:r>
        <w:rPr>
          <w:rFonts w:hint="eastAsia" w:ascii="仿宋_GB2312" w:hAnsi="仿宋_GB2312" w:eastAsia="仿宋_GB2312" w:cs="仿宋_GB2312"/>
          <w:sz w:val="32"/>
          <w:szCs w:val="32"/>
          <w:lang w:val="en-US" w:eastAsia="zh-CN"/>
        </w:rPr>
        <w:t>3次</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经费预算为</w:t>
      </w:r>
      <w:r>
        <w:rPr>
          <w:rFonts w:hint="eastAsia" w:ascii="仿宋_GB2312" w:hAnsi="仿宋_GB2312" w:eastAsia="仿宋_GB2312" w:cs="仿宋_GB2312"/>
          <w:sz w:val="32"/>
          <w:szCs w:val="32"/>
          <w:lang w:val="en-US" w:eastAsia="zh-CN"/>
        </w:rPr>
        <w:t>0.61万元，实际开支0.61万元，</w:t>
      </w:r>
      <w:r>
        <w:rPr>
          <w:rFonts w:hint="eastAsia" w:ascii="仿宋_GB2312" w:hAnsi="仿宋_GB2312" w:eastAsia="仿宋_GB2312" w:cs="仿宋_GB2312"/>
          <w:sz w:val="32"/>
          <w:szCs w:val="32"/>
          <w:lang w:eastAsia="zh-CN"/>
        </w:rPr>
        <w:t>此项培训经费</w:t>
      </w:r>
      <w:r>
        <w:rPr>
          <w:rFonts w:hint="eastAsia" w:ascii="仿宋_GB2312" w:hAnsi="仿宋_GB2312" w:eastAsia="仿宋_GB2312" w:cs="仿宋_GB2312"/>
          <w:sz w:val="32"/>
          <w:szCs w:val="32"/>
        </w:rPr>
        <w:t>内容为</w:t>
      </w:r>
      <w:r>
        <w:rPr>
          <w:rFonts w:hint="eastAsia" w:ascii="仿宋_GB2312" w:hAnsi="仿宋_GB2312" w:eastAsia="仿宋_GB2312" w:cs="仿宋_GB2312"/>
          <w:sz w:val="32"/>
          <w:szCs w:val="32"/>
          <w:lang w:eastAsia="zh-CN"/>
        </w:rPr>
        <w:t>民事、刑事等检察业务培训，委托湖南大学举办“湖南大学·双峰县检察院干警综合能力提升培训班”，此次培训共计</w:t>
      </w:r>
      <w:r>
        <w:rPr>
          <w:rFonts w:hint="eastAsia" w:ascii="仿宋_GB2312" w:hAnsi="仿宋_GB2312" w:eastAsia="仿宋_GB2312" w:cs="仿宋_GB2312"/>
          <w:sz w:val="32"/>
          <w:szCs w:val="32"/>
          <w:lang w:val="en-US" w:eastAsia="zh-CN"/>
        </w:rPr>
        <w:t>19人，</w:t>
      </w:r>
      <w:r>
        <w:rPr>
          <w:rFonts w:hint="eastAsia" w:ascii="仿宋_GB2312" w:hAnsi="仿宋_GB2312" w:eastAsia="仿宋_GB2312" w:cs="仿宋_GB2312"/>
          <w:sz w:val="32"/>
          <w:szCs w:val="32"/>
          <w:lang w:eastAsia="zh-CN"/>
        </w:rPr>
        <w:t>经费预算为</w:t>
      </w:r>
      <w:r>
        <w:rPr>
          <w:rFonts w:hint="eastAsia" w:ascii="仿宋_GB2312" w:hAnsi="仿宋_GB2312" w:eastAsia="仿宋_GB2312" w:cs="仿宋_GB2312"/>
          <w:sz w:val="32"/>
          <w:szCs w:val="32"/>
          <w:lang w:val="en-US" w:eastAsia="zh-CN"/>
        </w:rPr>
        <w:t>6.92万元，实际开支6.92万元，内容为党史学习、民法典、刑法、国际法、认罪认罚从宽制度等专业讲解，委托吉首大学举办“吉首</w:t>
      </w:r>
      <w:r>
        <w:rPr>
          <w:rFonts w:hint="eastAsia" w:ascii="仿宋_GB2312" w:hAnsi="仿宋_GB2312" w:eastAsia="仿宋_GB2312" w:cs="仿宋_GB2312"/>
          <w:sz w:val="32"/>
          <w:szCs w:val="32"/>
          <w:lang w:eastAsia="zh-CN"/>
        </w:rPr>
        <w:t>大学·双峰县检察院干警综合能力提升培训班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此次培训共计</w:t>
      </w:r>
      <w:r>
        <w:rPr>
          <w:rFonts w:hint="eastAsia" w:ascii="仿宋_GB2312" w:hAnsi="仿宋_GB2312" w:eastAsia="仿宋_GB2312" w:cs="仿宋_GB2312"/>
          <w:sz w:val="32"/>
          <w:szCs w:val="32"/>
          <w:lang w:val="en-US" w:eastAsia="zh-CN"/>
        </w:rPr>
        <w:t>21人，</w:t>
      </w:r>
      <w:r>
        <w:rPr>
          <w:rFonts w:hint="eastAsia" w:ascii="仿宋_GB2312" w:hAnsi="仿宋_GB2312" w:eastAsia="仿宋_GB2312" w:cs="仿宋_GB2312"/>
          <w:sz w:val="32"/>
          <w:szCs w:val="32"/>
          <w:lang w:eastAsia="zh-CN"/>
        </w:rPr>
        <w:t>经费预算为</w:t>
      </w:r>
      <w:r>
        <w:rPr>
          <w:rFonts w:hint="eastAsia" w:ascii="仿宋_GB2312" w:hAnsi="仿宋_GB2312" w:eastAsia="仿宋_GB2312" w:cs="仿宋_GB2312"/>
          <w:sz w:val="32"/>
          <w:szCs w:val="32"/>
          <w:lang w:val="en-US" w:eastAsia="zh-CN"/>
        </w:rPr>
        <w:t>8.73万元，实际开支8.73万元，内容为习近平法治思想解读，乡村振兴、公益诉讼、心理教育等课程。</w:t>
      </w:r>
    </w:p>
    <w:p>
      <w:pPr>
        <w:pStyle w:val="20"/>
        <w:spacing w:line="600" w:lineRule="exact"/>
        <w:ind w:firstLine="640" w:firstLineChars="200"/>
        <w:rPr>
          <w:rFonts w:hAnsi="黑体"/>
          <w:bCs/>
          <w:sz w:val="32"/>
          <w:szCs w:val="32"/>
        </w:rPr>
      </w:pPr>
      <w:r>
        <w:rPr>
          <w:rFonts w:hint="eastAsia" w:hAnsi="黑体"/>
          <w:bCs/>
          <w:sz w:val="32"/>
          <w:szCs w:val="32"/>
        </w:rPr>
        <w:t>十一、关于政府采购支出说明</w:t>
      </w:r>
    </w:p>
    <w:p>
      <w:pPr>
        <w:pStyle w:val="2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本部门2022年度政府采购支出总额</w:t>
      </w:r>
      <w:r>
        <w:rPr>
          <w:rFonts w:hint="eastAsia" w:ascii="仿宋_GB2312" w:hAnsi="仿宋_GB2312" w:eastAsia="仿宋_GB2312" w:cs="仿宋_GB2312"/>
          <w:sz w:val="32"/>
          <w:szCs w:val="32"/>
          <w:lang w:val="en-US" w:eastAsia="zh-CN"/>
        </w:rPr>
        <w:t>492.12</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330.04</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109.84</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52.24</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454.51</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92.36</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450.19</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91.48</w:t>
      </w:r>
      <w:r>
        <w:rPr>
          <w:rFonts w:hint="eastAsia" w:ascii="仿宋_GB2312" w:hAnsi="仿宋_GB2312" w:eastAsia="仿宋_GB2312" w:cs="仿宋_GB2312"/>
          <w:sz w:val="32"/>
          <w:szCs w:val="32"/>
        </w:rPr>
        <w:t>%。货物采购授予中小企业合同金额占货物支出金额的</w:t>
      </w:r>
      <w:r>
        <w:rPr>
          <w:rFonts w:hint="eastAsia" w:ascii="仿宋_GB2312" w:hAnsi="仿宋_GB2312" w:eastAsia="仿宋_GB2312" w:cs="仿宋_GB2312"/>
          <w:sz w:val="32"/>
          <w:szCs w:val="32"/>
          <w:lang w:val="en-US" w:eastAsia="zh-CN"/>
        </w:rPr>
        <w:t>93.47</w:t>
      </w:r>
      <w:r>
        <w:rPr>
          <w:rFonts w:hint="eastAsia" w:ascii="仿宋_GB2312" w:hAnsi="仿宋_GB2312" w:eastAsia="仿宋_GB2312" w:cs="仿宋_GB2312"/>
          <w:sz w:val="32"/>
          <w:szCs w:val="32"/>
        </w:rPr>
        <w:t>%，工程采购授予中小企业合同金额占工程支出金额的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%，服务采购授予中小企业合同金额占服务支出金额的</w:t>
      </w:r>
      <w:r>
        <w:rPr>
          <w:rFonts w:hint="eastAsia" w:ascii="仿宋_GB2312" w:hAnsi="仿宋_GB2312" w:eastAsia="仿宋_GB2312" w:cs="仿宋_GB2312"/>
          <w:sz w:val="32"/>
          <w:szCs w:val="32"/>
          <w:lang w:val="en-US" w:eastAsia="zh-CN"/>
        </w:rPr>
        <w:t>69.28</w:t>
      </w:r>
      <w:r>
        <w:rPr>
          <w:rFonts w:hint="eastAsia" w:ascii="仿宋_GB2312" w:hAnsi="仿宋_GB2312" w:eastAsia="仿宋_GB2312" w:cs="仿宋_GB2312"/>
          <w:sz w:val="32"/>
          <w:szCs w:val="32"/>
        </w:rPr>
        <w:t>%。</w:t>
      </w:r>
    </w:p>
    <w:p>
      <w:pPr>
        <w:pStyle w:val="20"/>
        <w:spacing w:line="600" w:lineRule="exact"/>
        <w:ind w:firstLine="640" w:firstLineChars="200"/>
        <w:rPr>
          <w:rFonts w:hAnsi="黑体"/>
          <w:bCs/>
          <w:sz w:val="32"/>
          <w:szCs w:val="32"/>
        </w:rPr>
      </w:pPr>
      <w:r>
        <w:rPr>
          <w:rFonts w:hint="eastAsia" w:hAnsi="黑体"/>
          <w:bCs/>
          <w:sz w:val="32"/>
          <w:szCs w:val="32"/>
        </w:rPr>
        <w:t>十二、关于国有资产占用情况说明</w:t>
      </w:r>
    </w:p>
    <w:p>
      <w:pPr>
        <w:pStyle w:val="2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截至2022年12月31日，本单位共有车辆</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辆，其中，主要领导干部用车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p>
    <w:p>
      <w:pPr>
        <w:pStyle w:val="20"/>
        <w:spacing w:line="600" w:lineRule="exact"/>
        <w:ind w:firstLine="640" w:firstLineChars="200"/>
        <w:rPr>
          <w:rFonts w:hAnsi="黑体"/>
          <w:bCs/>
          <w:sz w:val="32"/>
          <w:szCs w:val="32"/>
        </w:rPr>
      </w:pPr>
      <w:r>
        <w:rPr>
          <w:rFonts w:hint="eastAsia" w:hAnsi="黑体"/>
          <w:bCs/>
          <w:sz w:val="32"/>
          <w:szCs w:val="32"/>
        </w:rPr>
        <w:t>十三、关于</w:t>
      </w:r>
      <w:r>
        <w:rPr>
          <w:rFonts w:ascii="Times New Roman" w:hAnsi="Times New Roman" w:eastAsia="仿宋_GB2312"/>
          <w:sz w:val="32"/>
          <w:szCs w:val="32"/>
        </w:rPr>
        <w:t>2022</w:t>
      </w:r>
      <w:r>
        <w:rPr>
          <w:rFonts w:hint="eastAsia" w:hAnsi="黑体"/>
          <w:bCs/>
          <w:sz w:val="32"/>
          <w:szCs w:val="32"/>
        </w:rPr>
        <w:t>年度预算绩效情况的说明</w:t>
      </w:r>
    </w:p>
    <w:p>
      <w:pPr>
        <w:pStyle w:val="20"/>
        <w:spacing w:line="600" w:lineRule="exact"/>
        <w:ind w:firstLine="640" w:firstLineChars="200"/>
        <w:rPr>
          <w:rFonts w:ascii="楷体" w:hAnsi="楷体" w:eastAsia="楷体" w:cs="楷体"/>
          <w:b w:val="0"/>
          <w:bCs w:val="0"/>
          <w:sz w:val="32"/>
          <w:szCs w:val="32"/>
        </w:rPr>
      </w:pPr>
      <w:r>
        <w:rPr>
          <w:rFonts w:hint="eastAsia" w:ascii="楷体" w:hAnsi="楷体" w:eastAsia="楷体" w:cs="楷体"/>
          <w:b w:val="0"/>
          <w:bCs w:val="0"/>
          <w:sz w:val="32"/>
          <w:szCs w:val="32"/>
        </w:rPr>
        <w:t>（一）部门整体支出绩效情况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2022年，我院依法打击各类刑事犯罪，</w:t>
      </w:r>
      <w:r>
        <w:rPr>
          <w:rFonts w:hint="eastAsia" w:ascii="仿宋_GB2312" w:hAnsi="仿宋_GB2312" w:eastAsia="仿宋_GB2312" w:cs="仿宋_GB2312"/>
          <w:sz w:val="32"/>
          <w:szCs w:val="32"/>
          <w:lang w:eastAsia="zh-CN"/>
        </w:rPr>
        <w:t>共受理审查逮捕案件</w:t>
      </w:r>
      <w:r>
        <w:rPr>
          <w:rFonts w:hint="eastAsia" w:ascii="仿宋_GB2312" w:hAnsi="仿宋_GB2312" w:eastAsia="仿宋_GB2312" w:cs="仿宋_GB2312"/>
          <w:sz w:val="32"/>
          <w:szCs w:val="32"/>
          <w:lang w:val="en-US" w:eastAsia="zh-CN"/>
        </w:rPr>
        <w:t>436件715人，批准和决定逮捕346件560人（人数同比下降26.3%）；受理审查起诉案件757件1105人，起诉515件756人（人数同比上升2.6%）。</w:t>
      </w:r>
      <w:r>
        <w:rPr>
          <w:rFonts w:hint="eastAsia" w:ascii="仿宋_GB2312" w:hAnsi="仿宋_GB2312" w:eastAsia="仿宋_GB2312" w:cs="仿宋_GB2312"/>
          <w:sz w:val="32"/>
          <w:szCs w:val="32"/>
          <w:u w:val="none"/>
          <w:lang w:val="en-US" w:eastAsia="zh-CN"/>
        </w:rPr>
        <w:t>依法整治人民群众反映强烈的</w:t>
      </w:r>
      <w:r>
        <w:rPr>
          <w:rFonts w:hint="eastAsia" w:ascii="仿宋_GB2312" w:hAnsi="仿宋_GB2312" w:eastAsia="仿宋_GB2312" w:cs="仿宋_GB2312"/>
          <w:sz w:val="32"/>
          <w:szCs w:val="32"/>
          <w:u w:val="none"/>
          <w:lang w:eastAsia="zh-CN"/>
        </w:rPr>
        <w:t>黄赌毒、盗窃</w:t>
      </w:r>
      <w:r>
        <w:rPr>
          <w:rFonts w:hint="eastAsia" w:ascii="仿宋_GB2312" w:hAnsi="仿宋_GB2312" w:eastAsia="仿宋_GB2312" w:cs="仿宋_GB2312"/>
          <w:sz w:val="32"/>
          <w:szCs w:val="32"/>
          <w:u w:val="none"/>
          <w:lang w:val="en-US" w:eastAsia="zh-CN"/>
        </w:rPr>
        <w:t>等常见犯罪，批捕85件118人，起诉127件191人；批捕“三假”类犯罪33件35人，起诉19件22人。</w:t>
      </w:r>
      <w:r>
        <w:rPr>
          <w:rFonts w:hint="eastAsia" w:ascii="仿宋_GB2312" w:hAnsi="仿宋_GB2312" w:eastAsia="仿宋_GB2312" w:cs="仿宋_GB2312"/>
          <w:sz w:val="32"/>
          <w:szCs w:val="32"/>
          <w:lang w:val="en-US" w:eastAsia="zh-CN"/>
        </w:rPr>
        <w:t>批捕涉嫌涉恶犯罪5人，批捕“保护伞”1人，起诉3人。严厉打击严重危害社会秩序犯罪，批捕抢劫、强奸等严重暴力犯罪13件14人，起诉10件11人。统筹落实少捕慎诉慎押刑事司法政策和认罪认罚从宽制度，不批准逮捕157人，不捕率21.9%，同比增长6.9个百分点；不起诉171人，不诉率13.7%，同比增加4.6个百分点。</w:t>
      </w:r>
      <w:r>
        <w:rPr>
          <w:rFonts w:hint="eastAsia" w:ascii="仿宋_GB2312" w:hAnsi="仿宋_GB2312" w:eastAsia="仿宋_GB2312" w:cs="仿宋_GB2312"/>
          <w:sz w:val="32"/>
          <w:szCs w:val="32"/>
          <w:u w:val="none"/>
          <w:lang w:val="en-US" w:eastAsia="zh-CN"/>
        </w:rPr>
        <w:t>深入开展“反诈打跨”“断卡”专项行动，批捕电信诈骗、PS敲诈勒索类犯罪39件160人，起诉43件86人；批捕涉“两卡”类犯罪41件55人，起诉71件90人；批捕偷越国（边）境类犯罪4件6人，起诉9件29人；起诉侵犯公民信息犯罪1人。稳妥审慎办理</w:t>
      </w:r>
      <w:r>
        <w:rPr>
          <w:rFonts w:hint="eastAsia" w:ascii="仿宋_GB2312" w:hAnsi="仿宋_GB2312" w:eastAsia="仿宋_GB2312" w:cs="仿宋_GB2312"/>
          <w:sz w:val="32"/>
          <w:szCs w:val="32"/>
          <w:u w:val="none"/>
          <w:lang w:val="en" w:eastAsia="zh-CN"/>
        </w:rPr>
        <w:t>“杀洋盘”案件，</w:t>
      </w:r>
      <w:r>
        <w:rPr>
          <w:rFonts w:hint="eastAsia" w:ascii="仿宋_GB2312" w:hAnsi="仿宋_GB2312" w:eastAsia="仿宋_GB2312" w:cs="仿宋_GB2312"/>
          <w:sz w:val="32"/>
          <w:szCs w:val="32"/>
          <w:lang w:val="en" w:eastAsia="zh-CN"/>
        </w:rPr>
        <w:t>起诉</w:t>
      </w:r>
      <w:r>
        <w:rPr>
          <w:rFonts w:hint="eastAsia" w:ascii="仿宋_GB2312" w:hAnsi="仿宋_GB2312" w:eastAsia="仿宋_GB2312" w:cs="仿宋_GB2312"/>
          <w:sz w:val="32"/>
          <w:szCs w:val="32"/>
          <w:lang w:val="en-US" w:eastAsia="zh-CN"/>
        </w:rPr>
        <w:t>7件28人。严厉打击侵害未成年人犯罪，</w:t>
      </w:r>
      <w:r>
        <w:rPr>
          <w:rFonts w:hint="eastAsia" w:ascii="仿宋_GB2312" w:hAnsi="仿宋_GB2312" w:eastAsia="仿宋_GB2312" w:cs="仿宋_GB2312"/>
          <w:sz w:val="32"/>
          <w:szCs w:val="32"/>
          <w:u w:val="none"/>
          <w:lang w:val="en-US" w:eastAsia="zh-CN"/>
        </w:rPr>
        <w:t>批捕17件17人，起诉16人16人。</w:t>
      </w:r>
      <w:r>
        <w:rPr>
          <w:rFonts w:hint="eastAsia" w:ascii="仿宋_GB2312" w:hAnsi="仿宋_GB2312" w:eastAsia="仿宋_GB2312" w:cs="仿宋_GB2312"/>
          <w:sz w:val="32"/>
          <w:szCs w:val="32"/>
          <w:lang w:val="en-US" w:eastAsia="zh-CN"/>
        </w:rPr>
        <w:t>受办理各类民事行政检察案件892件，化解行政实质性争议案件18件；立案办理公益诉讼案件195件，起诉5件，</w:t>
      </w:r>
      <w:r>
        <w:rPr>
          <w:rFonts w:hint="eastAsia" w:ascii="仿宋_GB2312" w:hAnsi="仿宋_GB2312" w:eastAsia="仿宋_GB2312" w:cs="仿宋_GB2312"/>
          <w:sz w:val="32"/>
          <w:szCs w:val="32"/>
        </w:rPr>
        <w:t>发出</w:t>
      </w:r>
      <w:r>
        <w:rPr>
          <w:rFonts w:hint="eastAsia" w:ascii="仿宋_GB2312" w:hAnsi="仿宋_GB2312" w:eastAsia="仿宋_GB2312" w:cs="仿宋_GB2312"/>
          <w:sz w:val="32"/>
          <w:szCs w:val="32"/>
          <w:lang w:eastAsia="zh-CN"/>
        </w:rPr>
        <w:t>诉前</w:t>
      </w:r>
      <w:r>
        <w:rPr>
          <w:rFonts w:hint="eastAsia" w:ascii="仿宋_GB2312" w:hAnsi="仿宋_GB2312" w:eastAsia="仿宋_GB2312" w:cs="仿宋_GB2312"/>
          <w:sz w:val="32"/>
          <w:szCs w:val="32"/>
        </w:rPr>
        <w:t>检</w:t>
      </w:r>
      <w:r>
        <w:rPr>
          <w:rFonts w:hint="eastAsia" w:ascii="仿宋_GB2312" w:hAnsi="仿宋_GB2312" w:eastAsia="仿宋_GB2312" w:cs="仿宋_GB2312"/>
          <w:sz w:val="32"/>
          <w:szCs w:val="32"/>
          <w:u w:val="none"/>
        </w:rPr>
        <w:t>察建议</w:t>
      </w:r>
      <w:r>
        <w:rPr>
          <w:rFonts w:hint="eastAsia" w:ascii="仿宋_GB2312" w:hAnsi="仿宋_GB2312" w:eastAsia="仿宋_GB2312" w:cs="仿宋_GB2312"/>
          <w:sz w:val="32"/>
          <w:szCs w:val="32"/>
          <w:u w:val="none"/>
          <w:lang w:val="en-US" w:eastAsia="zh-CN"/>
        </w:rPr>
        <w:t>152份。</w:t>
      </w:r>
      <w:r>
        <w:rPr>
          <w:rFonts w:hint="eastAsia" w:ascii="仿宋_GB2312" w:hAnsi="仿宋_GB2312" w:eastAsia="仿宋_GB2312" w:cs="仿宋_GB2312"/>
          <w:sz w:val="32"/>
          <w:szCs w:val="32"/>
          <w:lang w:val="en-US" w:eastAsia="zh-CN"/>
        </w:rPr>
        <w:t>与县工商联共建沟通联系机制做法入选全国100对典型事例；</w:t>
      </w:r>
      <w:r>
        <w:rPr>
          <w:rFonts w:hint="eastAsia" w:ascii="仿宋_GB2312" w:hAnsi="仿宋_GB2312" w:eastAsia="仿宋_GB2312" w:cs="仿宋_GB2312"/>
          <w:sz w:val="32"/>
          <w:szCs w:val="32"/>
          <w:u w:val="none"/>
          <w:lang w:val="en-US" w:eastAsia="zh-CN"/>
        </w:rPr>
        <w:t>联合湘</w:t>
      </w:r>
      <w:r>
        <w:rPr>
          <w:rFonts w:hint="eastAsia" w:ascii="仿宋_GB2312" w:hAnsi="仿宋_GB2312" w:eastAsia="仿宋_GB2312" w:cs="仿宋_GB2312"/>
          <w:sz w:val="32"/>
          <w:szCs w:val="32"/>
          <w:lang w:val="en-US" w:eastAsia="zh-CN"/>
        </w:rPr>
        <w:t>乡市检察院联合开展“守护水府庙”公益诉讼专项监督活动，建立跨区域协作6项工作机制，</w:t>
      </w:r>
      <w:r>
        <w:rPr>
          <w:rFonts w:hint="eastAsia" w:ascii="仿宋_GB2312" w:hAnsi="仿宋_GB2312" w:eastAsia="仿宋_GB2312" w:cs="仿宋_GB2312"/>
          <w:sz w:val="32"/>
          <w:szCs w:val="32"/>
          <w:u w:val="none"/>
          <w:lang w:val="en-US" w:eastAsia="zh-CN"/>
        </w:rPr>
        <w:t>向农业农村、水利、林业、乡镇等单位发出诉前检察建议15份，通过督促履职，拆除河道违章建筑1000余平米，恢复非法围垦2处，清理河道垃圾、渣土15处，清除河道捕捞地笼40余处。</w:t>
      </w:r>
      <w:r>
        <w:rPr>
          <w:rFonts w:hint="eastAsia" w:ascii="仿宋_GB2312" w:hAnsi="仿宋_GB2312" w:eastAsia="仿宋_GB2312" w:cs="仿宋_GB2312"/>
          <w:sz w:val="32"/>
          <w:szCs w:val="32"/>
          <w:lang w:val="en-US" w:eastAsia="zh-CN"/>
        </w:rPr>
        <w:t>接待各类来信来访97件，处理各类控告申诉17件，为7名贫困刑事案件被害人申请司法救助金19.6万元。选派12名检察官进学校担任法治副校长，检察长带头开展法治进校园宣</w:t>
      </w:r>
      <w:r>
        <w:rPr>
          <w:rFonts w:hint="eastAsia" w:ascii="仿宋_GB2312" w:hAnsi="仿宋_GB2312" w:eastAsia="仿宋_GB2312" w:cs="仿宋_GB2312"/>
          <w:sz w:val="32"/>
          <w:szCs w:val="32"/>
          <w:u w:val="none"/>
          <w:lang w:val="en-US" w:eastAsia="zh-CN"/>
        </w:rPr>
        <w:t>讲30场次，为14000余学生送上禁毒、防范校园暴力和性侵害</w:t>
      </w:r>
      <w:r>
        <w:rPr>
          <w:rFonts w:hint="eastAsia" w:ascii="仿宋_GB2312" w:hAnsi="仿宋_GB2312" w:eastAsia="仿宋_GB2312" w:cs="仿宋_GB2312"/>
          <w:sz w:val="32"/>
          <w:szCs w:val="32"/>
          <w:lang w:val="en-US" w:eastAsia="zh-CN"/>
        </w:rPr>
        <w:t>的法治课。荣获全国最美家庭、全省检察机关常态化开展扫黑除恶专项斗争先进个人、全省检察机关信息工作表现突出个人等先进个人等省级以上荣誉10人次，获湖南省三八红旗集体、湖南省青年文明号等集体荣誉18项。在各级新闻媒体发表宣传稿件202篇，其中《检察日报》发表5篇。</w:t>
      </w:r>
    </w:p>
    <w:p>
      <w:pPr>
        <w:pStyle w:val="20"/>
        <w:spacing w:line="600" w:lineRule="exact"/>
        <w:ind w:firstLine="640" w:firstLineChars="200"/>
        <w:rPr>
          <w:rFonts w:ascii="楷体" w:hAnsi="楷体" w:eastAsia="楷体" w:cs="楷体"/>
          <w:b w:val="0"/>
          <w:bCs w:val="0"/>
          <w:sz w:val="32"/>
          <w:szCs w:val="32"/>
        </w:rPr>
      </w:pPr>
      <w:r>
        <w:rPr>
          <w:rFonts w:hint="eastAsia" w:ascii="楷体" w:hAnsi="楷体" w:eastAsia="楷体" w:cs="楷体"/>
          <w:b w:val="0"/>
          <w:bCs w:val="0"/>
          <w:sz w:val="32"/>
          <w:szCs w:val="32"/>
        </w:rPr>
        <w:t>（二）存在的问题及原因分析</w:t>
      </w:r>
    </w:p>
    <w:p>
      <w:pPr>
        <w:pStyle w:val="20"/>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一是预算绩效管理的意识不强，由于对预算管理的理解不是很到位，预算管理宣传力度不够，导致预管理目标编制的不够全面，细化。二是绩效管理专业人才缺乏，由于绩效管理工作覆盖面广、专业性强，实施绩效评价需要一定的专业素养和实战经验，财务人员缺乏专业的技能储备，难以做到程序规范、管理科学和绩效显著。</w:t>
      </w:r>
    </w:p>
    <w:p>
      <w:pPr>
        <w:pStyle w:val="20"/>
        <w:jc w:val="center"/>
        <w:rPr>
          <w:sz w:val="72"/>
          <w:szCs w:val="72"/>
        </w:rPr>
      </w:pPr>
    </w:p>
    <w:p>
      <w:pPr>
        <w:pStyle w:val="20"/>
        <w:jc w:val="center"/>
        <w:rPr>
          <w:sz w:val="72"/>
          <w:szCs w:val="72"/>
        </w:rPr>
      </w:pPr>
    </w:p>
    <w:p>
      <w:pPr>
        <w:pStyle w:val="20"/>
        <w:jc w:val="center"/>
        <w:rPr>
          <w:sz w:val="72"/>
          <w:szCs w:val="72"/>
        </w:rPr>
      </w:pPr>
    </w:p>
    <w:p>
      <w:pPr>
        <w:pStyle w:val="20"/>
        <w:jc w:val="center"/>
        <w:rPr>
          <w:sz w:val="72"/>
          <w:szCs w:val="72"/>
        </w:rPr>
      </w:pPr>
    </w:p>
    <w:p>
      <w:pPr>
        <w:pStyle w:val="20"/>
        <w:jc w:val="center"/>
        <w:rPr>
          <w:sz w:val="72"/>
          <w:szCs w:val="72"/>
        </w:rPr>
      </w:pPr>
    </w:p>
    <w:p>
      <w:pPr>
        <w:pStyle w:val="20"/>
        <w:jc w:val="both"/>
        <w:rPr>
          <w:rFonts w:ascii="方正小标宋_GBK" w:hAnsi="方正小标宋_GBK" w:eastAsia="方正小标宋_GBK" w:cs="方正小标宋_GBK"/>
          <w:sz w:val="72"/>
          <w:szCs w:val="72"/>
        </w:rPr>
      </w:pPr>
    </w:p>
    <w:p>
      <w:pPr>
        <w:pStyle w:val="20"/>
        <w:jc w:val="center"/>
        <w:rPr>
          <w:rFonts w:ascii="方正小标宋_GBK" w:hAnsi="方正小标宋_GBK" w:eastAsia="方正小标宋_GBK" w:cs="方正小标宋_GBK"/>
          <w:sz w:val="72"/>
          <w:szCs w:val="72"/>
        </w:rPr>
      </w:pPr>
    </w:p>
    <w:p>
      <w:pPr>
        <w:pStyle w:val="20"/>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ascii="方正小标宋_GBK" w:hAnsi="方正小标宋_GBK" w:eastAsia="方正小标宋_GBK" w:cs="方正小标宋_GBK"/>
          <w:color w:val="000000"/>
          <w:kern w:val="0"/>
          <w:sz w:val="70"/>
          <w:szCs w:val="70"/>
        </w:rPr>
      </w:pPr>
    </w:p>
    <w:p>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ascii="宋体" w:cs="黑体"/>
          <w:color w:val="000000"/>
          <w:kern w:val="0"/>
          <w:sz w:val="32"/>
          <w:szCs w:val="32"/>
        </w:rPr>
      </w:pPr>
      <w:r>
        <w:br w:type="page"/>
      </w:r>
    </w:p>
    <w:p>
      <w:pPr>
        <w:adjustRightInd w:val="0"/>
        <w:snapToGrid w:val="0"/>
        <w:spacing w:line="6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一、财政拨款收入：指省本级财政当年拨付的资金。</w:t>
      </w:r>
    </w:p>
    <w:p>
      <w:pPr>
        <w:adjustRightInd w:val="0"/>
        <w:snapToGrid w:val="0"/>
        <w:spacing w:line="6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二、其他收入：指除财政拨款收入、事业收入等以外的收入。主要是指非本级财政拨款收入、补助收入、存款利息收入等。</w:t>
      </w:r>
    </w:p>
    <w:p>
      <w:pPr>
        <w:adjustRightInd w:val="0"/>
        <w:snapToGrid w:val="0"/>
        <w:spacing w:line="6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三、上年结转和结余：指以前年度尚未完成、结转到本年仍按原规定用途继续使用的资金，或项目已完成产生的结余资金。</w:t>
      </w:r>
    </w:p>
    <w:p>
      <w:pPr>
        <w:adjustRightInd w:val="0"/>
        <w:snapToGrid w:val="0"/>
        <w:spacing w:line="6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四、年末结转和结余：指单位按有关规定结转到下年或以后年度继续使用的资金，或项目已完成产生的结余资金。</w:t>
      </w:r>
    </w:p>
    <w:p>
      <w:pPr>
        <w:adjustRightInd w:val="0"/>
        <w:snapToGrid w:val="0"/>
        <w:spacing w:line="6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五、公共安全支出（类）检察（款）：指检察机关用于保障机构正常运行、开展检察业务工作的支出。</w:t>
      </w:r>
    </w:p>
    <w:p>
      <w:pPr>
        <w:adjustRightInd w:val="0"/>
        <w:snapToGrid w:val="0"/>
        <w:spacing w:line="6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六、教育支出（类）进修及培训（款）培训支出（项）：指单位用于干警教育培训的支出。</w:t>
      </w:r>
    </w:p>
    <w:p>
      <w:pPr>
        <w:adjustRightInd w:val="0"/>
        <w:snapToGrid w:val="0"/>
        <w:spacing w:line="6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七、社会保障和就业支出（类）行政事业单位离退休（款）未归口管理的行政单位离退休（项）：指单位用于未归口社保的离退休人员的工资性支出。</w:t>
      </w:r>
    </w:p>
    <w:p>
      <w:pPr>
        <w:adjustRightInd w:val="0"/>
        <w:snapToGrid w:val="0"/>
        <w:spacing w:line="6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八、住房保障支出（类）住房改革支出（款）：指单位按照国家政策规定用于住房改革方面的支出。</w:t>
      </w:r>
    </w:p>
    <w:p>
      <w:pPr>
        <w:adjustRightInd w:val="0"/>
        <w:snapToGrid w:val="0"/>
        <w:spacing w:line="6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（一）住房公积金（项）：指按照国家统一规定，按规定比例为职工缴纳的住房公积金。</w:t>
      </w:r>
    </w:p>
    <w:p>
      <w:pPr>
        <w:adjustRightInd w:val="0"/>
        <w:snapToGrid w:val="0"/>
        <w:spacing w:line="6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（二）购房补贴（项）：指1998年住房分配货币化改革以后，按照国家房改政策规定，向无房职工、住房面积未达到规定标准的职工发放的住房补贴。</w:t>
      </w:r>
    </w:p>
    <w:p>
      <w:pPr>
        <w:adjustRightInd w:val="0"/>
        <w:snapToGrid w:val="0"/>
        <w:spacing w:line="6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九、基本支出：指为保障机构正常运转、完成日常工作任务而发生的人员支出和公用支出。</w:t>
      </w:r>
    </w:p>
    <w:p>
      <w:pPr>
        <w:adjustRightInd w:val="0"/>
        <w:snapToGrid w:val="0"/>
        <w:spacing w:line="6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十、项目支出：指在基本支出以外为完成特定任务和事业发展目标所发生的支出。</w:t>
      </w:r>
    </w:p>
    <w:p>
      <w:pPr>
        <w:adjustRightInd w:val="0"/>
        <w:snapToGrid w:val="0"/>
        <w:spacing w:line="6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十一、“ 三公” 经费财政拨款支出：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种公务接待（含外宾接待）支出。</w:t>
      </w:r>
    </w:p>
    <w:p>
      <w:pPr>
        <w:adjustRightInd w:val="0"/>
        <w:snapToGrid w:val="0"/>
        <w:spacing w:line="6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二、机关运行经费：为保障单位运行用于购买货物和服务的各项资金，包括办公及印刷费、邮电费、差旅费、会议费、福利费、日常维修费、专用材料及一般设备购置费、办公用房水电费、办公用房取暖费、办公用房物业管理费、公务用车运行维护费用及其他费用。</w:t>
      </w:r>
    </w:p>
    <w:p>
      <w:pPr>
        <w:pStyle w:val="20"/>
        <w:jc w:val="center"/>
        <w:rPr>
          <w:sz w:val="72"/>
          <w:szCs w:val="72"/>
        </w:rPr>
      </w:pPr>
    </w:p>
    <w:p>
      <w:pPr>
        <w:pStyle w:val="20"/>
        <w:jc w:val="center"/>
        <w:rPr>
          <w:sz w:val="72"/>
          <w:szCs w:val="72"/>
        </w:rPr>
      </w:pPr>
    </w:p>
    <w:p>
      <w:pPr>
        <w:pStyle w:val="20"/>
        <w:jc w:val="center"/>
        <w:rPr>
          <w:sz w:val="72"/>
          <w:szCs w:val="72"/>
        </w:rPr>
      </w:pPr>
    </w:p>
    <w:p>
      <w:pPr>
        <w:pStyle w:val="20"/>
        <w:jc w:val="center"/>
        <w:rPr>
          <w:sz w:val="72"/>
          <w:szCs w:val="72"/>
        </w:rPr>
      </w:pPr>
    </w:p>
    <w:p>
      <w:pPr>
        <w:pStyle w:val="20"/>
        <w:jc w:val="center"/>
        <w:rPr>
          <w:sz w:val="72"/>
          <w:szCs w:val="72"/>
        </w:rPr>
      </w:pPr>
    </w:p>
    <w:p>
      <w:pPr>
        <w:pStyle w:val="20"/>
        <w:jc w:val="center"/>
        <w:rPr>
          <w:sz w:val="72"/>
          <w:szCs w:val="72"/>
        </w:rPr>
      </w:pPr>
    </w:p>
    <w:p>
      <w:pPr>
        <w:pStyle w:val="20"/>
        <w:jc w:val="center"/>
        <w:rPr>
          <w:sz w:val="72"/>
          <w:szCs w:val="72"/>
        </w:rPr>
      </w:pPr>
    </w:p>
    <w:p>
      <w:pPr>
        <w:jc w:val="left"/>
        <w:rPr>
          <w:rFonts w:ascii="宋体" w:cs="黑体"/>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ZTBjMGIxMThmOTBjZWI4ZDQzNDRkZjc0NmM1ZTkifQ=="/>
  </w:docVars>
  <w:rsids>
    <w:rsidRoot w:val="00172A27"/>
    <w:rsid w:val="00006E1A"/>
    <w:rsid w:val="00020BAA"/>
    <w:rsid w:val="000D375E"/>
    <w:rsid w:val="000F109E"/>
    <w:rsid w:val="001369DE"/>
    <w:rsid w:val="00172A27"/>
    <w:rsid w:val="001A6EC3"/>
    <w:rsid w:val="001B1B65"/>
    <w:rsid w:val="001B4504"/>
    <w:rsid w:val="00282A50"/>
    <w:rsid w:val="00476242"/>
    <w:rsid w:val="004860BA"/>
    <w:rsid w:val="004F1432"/>
    <w:rsid w:val="006E2190"/>
    <w:rsid w:val="006F05FE"/>
    <w:rsid w:val="00795495"/>
    <w:rsid w:val="00892521"/>
    <w:rsid w:val="009E2228"/>
    <w:rsid w:val="00A20D4A"/>
    <w:rsid w:val="00B93EC8"/>
    <w:rsid w:val="00C4456D"/>
    <w:rsid w:val="00C65EF7"/>
    <w:rsid w:val="00C95E17"/>
    <w:rsid w:val="00D2136F"/>
    <w:rsid w:val="00D44FF7"/>
    <w:rsid w:val="00D5003B"/>
    <w:rsid w:val="00D6008F"/>
    <w:rsid w:val="00D76AE2"/>
    <w:rsid w:val="00E74023"/>
    <w:rsid w:val="00E76014"/>
    <w:rsid w:val="00F73C21"/>
    <w:rsid w:val="00F77DEE"/>
    <w:rsid w:val="00FF0150"/>
    <w:rsid w:val="01304D36"/>
    <w:rsid w:val="047F131B"/>
    <w:rsid w:val="04B84CED"/>
    <w:rsid w:val="05BF527D"/>
    <w:rsid w:val="06EB1C57"/>
    <w:rsid w:val="06FE1667"/>
    <w:rsid w:val="09EE054A"/>
    <w:rsid w:val="0C7EB22F"/>
    <w:rsid w:val="0D5F5076"/>
    <w:rsid w:val="0E794CFD"/>
    <w:rsid w:val="0F2E738A"/>
    <w:rsid w:val="0F4D5B69"/>
    <w:rsid w:val="0FBD431F"/>
    <w:rsid w:val="0FBD6782"/>
    <w:rsid w:val="10732E0A"/>
    <w:rsid w:val="10B43603"/>
    <w:rsid w:val="14F02A37"/>
    <w:rsid w:val="16961A83"/>
    <w:rsid w:val="16CB00C0"/>
    <w:rsid w:val="17A76E15"/>
    <w:rsid w:val="181D351D"/>
    <w:rsid w:val="19294241"/>
    <w:rsid w:val="199444CC"/>
    <w:rsid w:val="19A37D01"/>
    <w:rsid w:val="1EB83A0D"/>
    <w:rsid w:val="20BA7630"/>
    <w:rsid w:val="224D738D"/>
    <w:rsid w:val="233D40F4"/>
    <w:rsid w:val="239E3EFA"/>
    <w:rsid w:val="27057C39"/>
    <w:rsid w:val="27BDDE58"/>
    <w:rsid w:val="2C705F5D"/>
    <w:rsid w:val="2D4600BD"/>
    <w:rsid w:val="2ECD5469"/>
    <w:rsid w:val="2ED33138"/>
    <w:rsid w:val="2F985263"/>
    <w:rsid w:val="308B6EC8"/>
    <w:rsid w:val="3269772D"/>
    <w:rsid w:val="32BE1CF3"/>
    <w:rsid w:val="35254483"/>
    <w:rsid w:val="35392ED2"/>
    <w:rsid w:val="36D921E9"/>
    <w:rsid w:val="383E36EE"/>
    <w:rsid w:val="384E095F"/>
    <w:rsid w:val="38F870F6"/>
    <w:rsid w:val="396FE8DD"/>
    <w:rsid w:val="3A5A7B58"/>
    <w:rsid w:val="3A7CA252"/>
    <w:rsid w:val="3B9FBCEC"/>
    <w:rsid w:val="3BDFB2B6"/>
    <w:rsid w:val="3BF7F5E9"/>
    <w:rsid w:val="3C717DA3"/>
    <w:rsid w:val="3C99219F"/>
    <w:rsid w:val="3CFE15A9"/>
    <w:rsid w:val="3D6F8D21"/>
    <w:rsid w:val="3E510035"/>
    <w:rsid w:val="3E59440E"/>
    <w:rsid w:val="3EDF7B48"/>
    <w:rsid w:val="3F59A241"/>
    <w:rsid w:val="3F76998E"/>
    <w:rsid w:val="3FAF4742"/>
    <w:rsid w:val="3FB56340"/>
    <w:rsid w:val="3FBF3D82"/>
    <w:rsid w:val="3FFEE0B1"/>
    <w:rsid w:val="3FFFC4E2"/>
    <w:rsid w:val="44BE6AD3"/>
    <w:rsid w:val="458A53FB"/>
    <w:rsid w:val="461E3F87"/>
    <w:rsid w:val="4B7BF775"/>
    <w:rsid w:val="4B9F94D2"/>
    <w:rsid w:val="4BA14E51"/>
    <w:rsid w:val="4C41282D"/>
    <w:rsid w:val="4D564E2C"/>
    <w:rsid w:val="4DD70B1D"/>
    <w:rsid w:val="4EB1420C"/>
    <w:rsid w:val="4EFF7917"/>
    <w:rsid w:val="5225532F"/>
    <w:rsid w:val="52D371DC"/>
    <w:rsid w:val="53F7DA71"/>
    <w:rsid w:val="53FAB990"/>
    <w:rsid w:val="5527785F"/>
    <w:rsid w:val="55C776C9"/>
    <w:rsid w:val="57FDA2BD"/>
    <w:rsid w:val="59763AA7"/>
    <w:rsid w:val="5A0A7EE5"/>
    <w:rsid w:val="5BADE5A3"/>
    <w:rsid w:val="5BBFCCF2"/>
    <w:rsid w:val="5D6E1771"/>
    <w:rsid w:val="5DAD91F5"/>
    <w:rsid w:val="5ECB22E0"/>
    <w:rsid w:val="5F7B5C11"/>
    <w:rsid w:val="5F8B28DD"/>
    <w:rsid w:val="5FBFC67F"/>
    <w:rsid w:val="62BA4244"/>
    <w:rsid w:val="637B79F6"/>
    <w:rsid w:val="663F549B"/>
    <w:rsid w:val="664B584B"/>
    <w:rsid w:val="67AE857B"/>
    <w:rsid w:val="685624B9"/>
    <w:rsid w:val="68697152"/>
    <w:rsid w:val="69826FFE"/>
    <w:rsid w:val="698B7FB4"/>
    <w:rsid w:val="6B4F9175"/>
    <w:rsid w:val="6B857B9B"/>
    <w:rsid w:val="6BFED46B"/>
    <w:rsid w:val="6CF71BD2"/>
    <w:rsid w:val="6D521677"/>
    <w:rsid w:val="6D76130F"/>
    <w:rsid w:val="6DA32372"/>
    <w:rsid w:val="6DFB7DAB"/>
    <w:rsid w:val="6EAC3EA8"/>
    <w:rsid w:val="6ED35A2A"/>
    <w:rsid w:val="6FEF8254"/>
    <w:rsid w:val="6FF1F14C"/>
    <w:rsid w:val="6FF399B3"/>
    <w:rsid w:val="6FFD9298"/>
    <w:rsid w:val="6FFF3DD7"/>
    <w:rsid w:val="725EC812"/>
    <w:rsid w:val="728D7849"/>
    <w:rsid w:val="74AC8529"/>
    <w:rsid w:val="74FF26A8"/>
    <w:rsid w:val="75FEFF8B"/>
    <w:rsid w:val="765812F9"/>
    <w:rsid w:val="76D87A84"/>
    <w:rsid w:val="7737AD80"/>
    <w:rsid w:val="774F366C"/>
    <w:rsid w:val="77B7EDE5"/>
    <w:rsid w:val="77CC8448"/>
    <w:rsid w:val="77FB1016"/>
    <w:rsid w:val="78F50956"/>
    <w:rsid w:val="790E6344"/>
    <w:rsid w:val="793FD6B4"/>
    <w:rsid w:val="79731106"/>
    <w:rsid w:val="7AAD8FA4"/>
    <w:rsid w:val="7AF74297"/>
    <w:rsid w:val="7B233FE8"/>
    <w:rsid w:val="7BA3F868"/>
    <w:rsid w:val="7BD63F52"/>
    <w:rsid w:val="7BFBFA87"/>
    <w:rsid w:val="7C5A6CC4"/>
    <w:rsid w:val="7C672694"/>
    <w:rsid w:val="7C77E5F2"/>
    <w:rsid w:val="7CEB4186"/>
    <w:rsid w:val="7CFEA95C"/>
    <w:rsid w:val="7D141B10"/>
    <w:rsid w:val="7D6F209A"/>
    <w:rsid w:val="7D7C0CA5"/>
    <w:rsid w:val="7DBB4A20"/>
    <w:rsid w:val="7DDB97B3"/>
    <w:rsid w:val="7DDFBD12"/>
    <w:rsid w:val="7DFBF642"/>
    <w:rsid w:val="7DFF458A"/>
    <w:rsid w:val="7E37353B"/>
    <w:rsid w:val="7E7E202B"/>
    <w:rsid w:val="7EEF5E12"/>
    <w:rsid w:val="7F65A9D6"/>
    <w:rsid w:val="7FADE4B1"/>
    <w:rsid w:val="7FBF6D56"/>
    <w:rsid w:val="7FBF7A54"/>
    <w:rsid w:val="7FDBCB8D"/>
    <w:rsid w:val="7FDCF551"/>
    <w:rsid w:val="7FDF9117"/>
    <w:rsid w:val="7FDFE03A"/>
    <w:rsid w:val="7FE9AC28"/>
    <w:rsid w:val="7FEB792B"/>
    <w:rsid w:val="7FEBABF3"/>
    <w:rsid w:val="7FEF4BE8"/>
    <w:rsid w:val="7FEFE6E2"/>
    <w:rsid w:val="7FFB2260"/>
    <w:rsid w:val="7FFBC9B1"/>
    <w:rsid w:val="7FFF4F2E"/>
    <w:rsid w:val="7FFFFA82"/>
    <w:rsid w:val="8BD744BA"/>
    <w:rsid w:val="8DDD66DF"/>
    <w:rsid w:val="8FEF1B93"/>
    <w:rsid w:val="8FF37CD6"/>
    <w:rsid w:val="98FF6236"/>
    <w:rsid w:val="9CCF76B5"/>
    <w:rsid w:val="9CFFD99F"/>
    <w:rsid w:val="9F3AF639"/>
    <w:rsid w:val="9FAF4C0B"/>
    <w:rsid w:val="A91DF64A"/>
    <w:rsid w:val="AB7FEBF4"/>
    <w:rsid w:val="AEFB8C81"/>
    <w:rsid w:val="AF379ABF"/>
    <w:rsid w:val="AFEF0761"/>
    <w:rsid w:val="B3BF59F8"/>
    <w:rsid w:val="B6ED84D6"/>
    <w:rsid w:val="BAF8D433"/>
    <w:rsid w:val="BB7F33A7"/>
    <w:rsid w:val="BBB3CDE5"/>
    <w:rsid w:val="BDFD8F79"/>
    <w:rsid w:val="BEDBE7DF"/>
    <w:rsid w:val="BFBF28B5"/>
    <w:rsid w:val="BFEB835F"/>
    <w:rsid w:val="BFEFA51E"/>
    <w:rsid w:val="BFF22D40"/>
    <w:rsid w:val="BFFDDB79"/>
    <w:rsid w:val="BFFF11FE"/>
    <w:rsid w:val="C77E8ADA"/>
    <w:rsid w:val="CDC7296F"/>
    <w:rsid w:val="CF3F1521"/>
    <w:rsid w:val="CF8F8AAA"/>
    <w:rsid w:val="D57DD185"/>
    <w:rsid w:val="D5AFF1BA"/>
    <w:rsid w:val="D7BFA17D"/>
    <w:rsid w:val="D7ED7701"/>
    <w:rsid w:val="D9BF6F59"/>
    <w:rsid w:val="DADB1470"/>
    <w:rsid w:val="DAFF2F3C"/>
    <w:rsid w:val="DB579B22"/>
    <w:rsid w:val="DBAF6DDB"/>
    <w:rsid w:val="DFD77CC2"/>
    <w:rsid w:val="DFF6C031"/>
    <w:rsid w:val="DFFF1520"/>
    <w:rsid w:val="E3F65C55"/>
    <w:rsid w:val="E3FBDE27"/>
    <w:rsid w:val="E4A5A3B2"/>
    <w:rsid w:val="E6B68D34"/>
    <w:rsid w:val="E6F72BC7"/>
    <w:rsid w:val="EBB7ED58"/>
    <w:rsid w:val="EBEF3F4D"/>
    <w:rsid w:val="EBF7F630"/>
    <w:rsid w:val="ED7702B7"/>
    <w:rsid w:val="EDB7A8FA"/>
    <w:rsid w:val="EE7A620A"/>
    <w:rsid w:val="EEC3BAEE"/>
    <w:rsid w:val="EFFDBB46"/>
    <w:rsid w:val="F24395E8"/>
    <w:rsid w:val="F3FB3CDB"/>
    <w:rsid w:val="F4CF7B9B"/>
    <w:rsid w:val="F54D1DC2"/>
    <w:rsid w:val="F59D0F6C"/>
    <w:rsid w:val="F6151979"/>
    <w:rsid w:val="F6DD8F3C"/>
    <w:rsid w:val="F6DF222F"/>
    <w:rsid w:val="F6EDB621"/>
    <w:rsid w:val="F7FBCDDD"/>
    <w:rsid w:val="F7FE11B8"/>
    <w:rsid w:val="F9D70287"/>
    <w:rsid w:val="FAE72604"/>
    <w:rsid w:val="FBBB62D8"/>
    <w:rsid w:val="FBBF59E7"/>
    <w:rsid w:val="FBF35ED2"/>
    <w:rsid w:val="FBFBB1B5"/>
    <w:rsid w:val="FBFF3EFE"/>
    <w:rsid w:val="FD9B30D2"/>
    <w:rsid w:val="FDFBB06B"/>
    <w:rsid w:val="FE121CD6"/>
    <w:rsid w:val="FEFFD534"/>
    <w:rsid w:val="FF3FE7BA"/>
    <w:rsid w:val="FF59733E"/>
    <w:rsid w:val="FF635629"/>
    <w:rsid w:val="FF7CB03F"/>
    <w:rsid w:val="FF7DC27C"/>
    <w:rsid w:val="FFAF31BB"/>
    <w:rsid w:val="FFCDA547"/>
    <w:rsid w:val="FFCF58B8"/>
    <w:rsid w:val="FFDD84D5"/>
    <w:rsid w:val="FFE655CB"/>
    <w:rsid w:val="FFEF16A4"/>
    <w:rsid w:val="FFF2C869"/>
    <w:rsid w:val="FFFCFCF3"/>
    <w:rsid w:val="FFFDA752"/>
    <w:rsid w:val="FFFF61B2"/>
    <w:rsid w:val="FFFFDD3F"/>
    <w:rsid w:val="FFFFF3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664"/>
    </w:pPr>
  </w:style>
  <w:style w:type="paragraph" w:styleId="3">
    <w:name w:val="Body Text"/>
    <w:basedOn w:val="1"/>
    <w:next w:val="4"/>
    <w:qFormat/>
    <w:uiPriority w:val="0"/>
    <w:pPr>
      <w:widowControl/>
      <w:spacing w:before="100" w:beforeAutospacing="1" w:after="100" w:afterAutospacing="1"/>
      <w:jc w:val="left"/>
    </w:pPr>
    <w:rPr>
      <w:rFonts w:ascii="宋体" w:hAnsi="宋体" w:cs="宋体"/>
      <w:kern w:val="0"/>
      <w:sz w:val="24"/>
    </w:rPr>
  </w:style>
  <w:style w:type="paragraph" w:styleId="4">
    <w:name w:val="toc 5"/>
    <w:basedOn w:val="1"/>
    <w:next w:val="1"/>
    <w:qFormat/>
    <w:locked/>
    <w:uiPriority w:val="0"/>
    <w:pPr>
      <w:ind w:left="1680" w:leftChars="800"/>
    </w:pPr>
  </w:style>
  <w:style w:type="paragraph" w:styleId="5">
    <w:name w:val="Body Text Indent"/>
    <w:basedOn w:val="1"/>
    <w:link w:val="15"/>
    <w:qFormat/>
    <w:uiPriority w:val="99"/>
    <w:pPr>
      <w:spacing w:after="120"/>
      <w:ind w:left="420" w:leftChars="200"/>
    </w:pPr>
  </w:style>
  <w:style w:type="paragraph" w:styleId="6">
    <w:name w:val="Balloon Text"/>
    <w:basedOn w:val="1"/>
    <w:link w:val="16"/>
    <w:semiHidden/>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pPr>
    <w:rPr>
      <w:rFonts w:cs="Times New Roman"/>
    </w:rPr>
  </w:style>
  <w:style w:type="paragraph" w:styleId="10">
    <w:name w:val="Body Text First Indent 2"/>
    <w:basedOn w:val="5"/>
    <w:next w:val="1"/>
    <w:link w:val="18"/>
    <w:qFormat/>
    <w:uiPriority w:val="99"/>
    <w:pPr>
      <w:ind w:left="200" w:firstLine="420" w:firstLineChars="200"/>
    </w:pPr>
    <w:rPr>
      <w:rFonts w:ascii="Times New Roman" w:hAnsi="Verdana" w:eastAsia="仿宋_GB2312" w:cs="Times New Roman"/>
      <w:lang w:eastAsia="en-US"/>
    </w:rPr>
  </w:style>
  <w:style w:type="table" w:styleId="12">
    <w:name w:val="Table Grid"/>
    <w:basedOn w:val="11"/>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4">
    <w:name w:val="Strong"/>
    <w:basedOn w:val="13"/>
    <w:qFormat/>
    <w:locked/>
    <w:uiPriority w:val="99"/>
    <w:rPr>
      <w:rFonts w:cs="Times New Roman"/>
      <w:b/>
    </w:rPr>
  </w:style>
  <w:style w:type="character" w:customStyle="1" w:styleId="15">
    <w:name w:val="Body Text Indent Char"/>
    <w:basedOn w:val="13"/>
    <w:link w:val="5"/>
    <w:semiHidden/>
    <w:qFormat/>
    <w:uiPriority w:val="99"/>
    <w:rPr>
      <w:rFonts w:ascii="Calibri" w:hAnsi="Calibri" w:cs="Arial"/>
    </w:rPr>
  </w:style>
  <w:style w:type="character" w:customStyle="1" w:styleId="16">
    <w:name w:val="Balloon Text Char"/>
    <w:basedOn w:val="13"/>
    <w:link w:val="6"/>
    <w:semiHidden/>
    <w:qFormat/>
    <w:locked/>
    <w:uiPriority w:val="99"/>
    <w:rPr>
      <w:rFonts w:cs="Times New Roman"/>
      <w:sz w:val="18"/>
      <w:szCs w:val="18"/>
    </w:rPr>
  </w:style>
  <w:style w:type="character" w:customStyle="1" w:styleId="17">
    <w:name w:val="Footer Char"/>
    <w:basedOn w:val="13"/>
    <w:link w:val="7"/>
    <w:qFormat/>
    <w:locked/>
    <w:uiPriority w:val="99"/>
    <w:rPr>
      <w:rFonts w:cs="Times New Roman"/>
      <w:sz w:val="18"/>
      <w:szCs w:val="18"/>
    </w:rPr>
  </w:style>
  <w:style w:type="character" w:customStyle="1" w:styleId="18">
    <w:name w:val="Body Text First Indent 2 Char"/>
    <w:basedOn w:val="15"/>
    <w:link w:val="10"/>
    <w:semiHidden/>
    <w:qFormat/>
    <w:uiPriority w:val="99"/>
  </w:style>
  <w:style w:type="character" w:customStyle="1" w:styleId="19">
    <w:name w:val="Header Char"/>
    <w:basedOn w:val="13"/>
    <w:link w:val="8"/>
    <w:qFormat/>
    <w:locked/>
    <w:uiPriority w:val="99"/>
    <w:rPr>
      <w:rFonts w:cs="Times New Roman"/>
      <w:sz w:val="18"/>
      <w:szCs w:val="18"/>
    </w:rPr>
  </w:style>
  <w:style w:type="paragraph" w:customStyle="1" w:styleId="20">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21">
    <w:name w:val="List Paragraph"/>
    <w:basedOn w:val="1"/>
    <w:qFormat/>
    <w:uiPriority w:val="99"/>
    <w:pPr>
      <w:ind w:firstLine="420" w:firstLineChars="200"/>
    </w:pPr>
  </w:style>
  <w:style w:type="character" w:customStyle="1" w:styleId="22">
    <w:name w:val="font01"/>
    <w:basedOn w:val="13"/>
    <w:qFormat/>
    <w:uiPriority w:val="99"/>
    <w:rPr>
      <w:rFonts w:ascii="宋体" w:hAnsi="宋体" w:eastAsia="宋体" w:cs="宋体"/>
      <w:color w:val="000000"/>
      <w:sz w:val="22"/>
      <w:szCs w:val="22"/>
      <w:u w:val="none"/>
    </w:rPr>
  </w:style>
  <w:style w:type="character" w:customStyle="1" w:styleId="23">
    <w:name w:val="font21"/>
    <w:basedOn w:val="13"/>
    <w:qFormat/>
    <w:uiPriority w:val="99"/>
    <w:rPr>
      <w:rFonts w:ascii="宋体" w:hAnsi="宋体" w:eastAsia="宋体" w:cs="宋体"/>
      <w:color w:val="000000"/>
      <w:sz w:val="24"/>
      <w:szCs w:val="24"/>
      <w:u w:val="none"/>
    </w:rPr>
  </w:style>
  <w:style w:type="character" w:customStyle="1" w:styleId="24">
    <w:name w:val="font11"/>
    <w:basedOn w:val="13"/>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25</Pages>
  <Words>788</Words>
  <Characters>4498</Characters>
  <Lines>0</Lines>
  <Paragraphs>0</Paragraphs>
  <TotalTime>38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2020-07-08T10:32:00Z</dcterms:created>
  <dc:creator>李航 null</dc:creator>
  <cp:lastModifiedBy>Administrator</cp:lastModifiedBy>
  <cp:lastPrinted>2023-08-19T01:28:00Z</cp:lastPrinted>
  <dcterms:modified xsi:type="dcterms:W3CDTF">2023-09-20T09:39:57Z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8FF0649195224D67B0B55DF8A7D125C3_13</vt:lpwstr>
  </property>
</Properties>
</file>