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hint="eastAsia" w:ascii="楷体_GB2312" w:eastAsia="楷体_GB2312"/>
          <w:sz w:val="84"/>
          <w:szCs w:val="84"/>
          <w:lang w:val="en-US" w:eastAsia="zh-CN"/>
        </w:rPr>
      </w:pPr>
      <w:r>
        <w:rPr>
          <w:rFonts w:hint="eastAsia" w:ascii="楷体_GB2312" w:eastAsia="楷体_GB2312"/>
          <w:sz w:val="84"/>
          <w:szCs w:val="84"/>
          <w:lang w:val="en-US" w:eastAsia="zh-CN"/>
        </w:rPr>
        <w:t xml:space="preserve"> </w:t>
      </w:r>
    </w:p>
    <w:p>
      <w:pPr>
        <w:pStyle w:val="14"/>
        <w:jc w:val="both"/>
        <w:rPr>
          <w:rFonts w:ascii="楷体_GB2312" w:eastAsia="楷体_GB2312"/>
          <w:sz w:val="84"/>
          <w:szCs w:val="84"/>
        </w:rPr>
      </w:pPr>
    </w:p>
    <w:p>
      <w:pPr>
        <w:pStyle w:val="14"/>
        <w:jc w:val="center"/>
        <w:rPr>
          <w:rFonts w:ascii="楷体_GB2312" w:eastAsia="楷体_GB2312"/>
          <w:sz w:val="84"/>
          <w:szCs w:val="84"/>
        </w:rPr>
      </w:pPr>
    </w:p>
    <w:p>
      <w:pPr>
        <w:pStyle w:val="14"/>
        <w:jc w:val="center"/>
        <w:rPr>
          <w:rFonts w:hint="eastAsia" w:ascii="楷体_GB2312" w:hAnsi="楷体_GB2312" w:eastAsia="楷体_GB2312" w:cs="楷体_GB2312"/>
          <w:sz w:val="84"/>
          <w:szCs w:val="84"/>
        </w:rPr>
      </w:pPr>
      <w:r>
        <w:rPr>
          <w:rFonts w:hint="eastAsia" w:ascii="楷体_GB2312" w:hAnsi="楷体_GB2312" w:eastAsia="楷体_GB2312" w:cs="楷体_GB2312"/>
          <w:sz w:val="84"/>
          <w:szCs w:val="84"/>
        </w:rPr>
        <w:t>2021年度</w:t>
      </w:r>
    </w:p>
    <w:p>
      <w:pPr>
        <w:pStyle w:val="14"/>
        <w:jc w:val="center"/>
        <w:rPr>
          <w:rFonts w:hint="eastAsia" w:ascii="楷体_GB2312" w:hAnsi="楷体_GB2312" w:eastAsia="楷体_GB2312" w:cs="楷体_GB2312"/>
          <w:sz w:val="84"/>
          <w:szCs w:val="84"/>
        </w:rPr>
      </w:pPr>
      <w:r>
        <w:rPr>
          <w:rFonts w:hint="eastAsia" w:ascii="楷体_GB2312" w:hAnsi="楷体_GB2312" w:eastAsia="楷体_GB2312" w:cs="楷体_GB2312"/>
          <w:sz w:val="84"/>
          <w:szCs w:val="84"/>
        </w:rPr>
        <w:t>娄底市人民检察院</w:t>
      </w:r>
    </w:p>
    <w:p>
      <w:pPr>
        <w:pStyle w:val="14"/>
        <w:jc w:val="center"/>
        <w:rPr>
          <w:rFonts w:ascii="楷体_GB2312" w:eastAsia="楷体_GB2312"/>
          <w:sz w:val="84"/>
          <w:szCs w:val="84"/>
        </w:rPr>
      </w:pPr>
      <w:r>
        <w:rPr>
          <w:rFonts w:hint="eastAsia" w:ascii="楷体_GB2312" w:hAnsi="楷体_GB2312" w:eastAsia="楷体_GB2312" w:cs="楷体_GB2312"/>
          <w:sz w:val="84"/>
          <w:szCs w:val="84"/>
        </w:rPr>
        <w:t>部门决算公开</w:t>
      </w: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spacing w:line="500" w:lineRule="exact"/>
        <w:jc w:val="both"/>
        <w:rPr>
          <w:rFonts w:hint="eastAsia"/>
          <w:b/>
          <w:sz w:val="44"/>
          <w:szCs w:val="44"/>
        </w:rPr>
      </w:pPr>
    </w:p>
    <w:p>
      <w:pPr>
        <w:pStyle w:val="14"/>
        <w:spacing w:line="500" w:lineRule="exact"/>
        <w:jc w:val="both"/>
        <w:rPr>
          <w:rFonts w:hint="eastAsia"/>
          <w:b/>
          <w:sz w:val="44"/>
          <w:szCs w:val="44"/>
        </w:rPr>
      </w:pPr>
    </w:p>
    <w:p>
      <w:pPr>
        <w:pStyle w:val="14"/>
        <w:spacing w:line="500" w:lineRule="exact"/>
        <w:jc w:val="both"/>
        <w:rPr>
          <w:rFonts w:hint="eastAsia"/>
          <w:b/>
          <w:sz w:val="44"/>
          <w:szCs w:val="44"/>
        </w:rPr>
      </w:pPr>
    </w:p>
    <w:p>
      <w:pPr>
        <w:pStyle w:val="14"/>
        <w:spacing w:line="500" w:lineRule="exact"/>
        <w:jc w:val="center"/>
        <w:rPr>
          <w:b/>
          <w:sz w:val="44"/>
          <w:szCs w:val="44"/>
        </w:rPr>
      </w:pPr>
      <w:r>
        <w:rPr>
          <w:rFonts w:hint="eastAsia"/>
          <w:b/>
          <w:sz w:val="44"/>
          <w:szCs w:val="44"/>
        </w:rPr>
        <w:t>目    录</w:t>
      </w:r>
    </w:p>
    <w:p>
      <w:pPr>
        <w:pStyle w:val="14"/>
        <w:spacing w:line="500" w:lineRule="exact"/>
        <w:ind w:firstLine="629" w:firstLineChars="196"/>
        <w:rPr>
          <w:b/>
          <w:sz w:val="32"/>
          <w:szCs w:val="32"/>
        </w:rPr>
      </w:pPr>
    </w:p>
    <w:p>
      <w:pPr>
        <w:pStyle w:val="14"/>
        <w:spacing w:line="500" w:lineRule="exact"/>
        <w:ind w:firstLine="627" w:firstLineChars="196"/>
        <w:rPr>
          <w:rFonts w:ascii="仿宋_GB2312" w:eastAsia="仿宋_GB2312" w:cs="仿宋_GB2312"/>
          <w:b w:val="0"/>
          <w:bCs/>
          <w:sz w:val="32"/>
          <w:szCs w:val="32"/>
        </w:rPr>
      </w:pPr>
      <w:r>
        <w:rPr>
          <w:rFonts w:hint="eastAsia"/>
          <w:b w:val="0"/>
          <w:bCs/>
          <w:sz w:val="32"/>
          <w:szCs w:val="32"/>
        </w:rPr>
        <w:t>第一部分  娄底市人民检察院单位概况</w:t>
      </w:r>
    </w:p>
    <w:p>
      <w:pPr>
        <w:pStyle w:val="14"/>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一、部门职责</w:t>
      </w:r>
    </w:p>
    <w:p>
      <w:pPr>
        <w:pStyle w:val="14"/>
        <w:spacing w:line="500" w:lineRule="exact"/>
        <w:ind w:firstLine="800" w:firstLineChars="250"/>
        <w:rPr>
          <w:rFonts w:ascii="宋体" w:hAnsi="宋体" w:eastAsia="宋体" w:cs="仿宋_GB2312"/>
          <w:sz w:val="32"/>
          <w:szCs w:val="32"/>
        </w:rPr>
      </w:pPr>
      <w:r>
        <w:rPr>
          <w:rFonts w:hint="eastAsia" w:ascii="仿宋_GB2312" w:hAnsi="仿宋_GB2312" w:eastAsia="仿宋_GB2312" w:cs="仿宋_GB2312"/>
          <w:sz w:val="32"/>
          <w:szCs w:val="32"/>
        </w:rPr>
        <w:t>二、机构设置</w:t>
      </w:r>
    </w:p>
    <w:p>
      <w:pPr>
        <w:pStyle w:val="14"/>
        <w:spacing w:line="500" w:lineRule="exact"/>
        <w:ind w:firstLine="627" w:firstLineChars="196"/>
        <w:rPr>
          <w:rFonts w:ascii="仿宋_GB2312" w:eastAsia="仿宋_GB2312" w:cs="仿宋_GB2312"/>
          <w:b w:val="0"/>
          <w:bCs/>
          <w:sz w:val="32"/>
          <w:szCs w:val="32"/>
        </w:rPr>
      </w:pPr>
      <w:r>
        <w:rPr>
          <w:rFonts w:hint="eastAsia" w:hAnsi="仿宋_GB2312"/>
          <w:b w:val="0"/>
          <w:bCs/>
          <w:sz w:val="32"/>
          <w:szCs w:val="32"/>
        </w:rPr>
        <w:t xml:space="preserve">第二部分  </w:t>
      </w:r>
      <w:r>
        <w:rPr>
          <w:rFonts w:hAnsi="仿宋_GB2312"/>
          <w:b w:val="0"/>
          <w:bCs/>
          <w:sz w:val="32"/>
          <w:szCs w:val="32"/>
        </w:rPr>
        <w:t>2021</w:t>
      </w:r>
      <w:r>
        <w:rPr>
          <w:rFonts w:hint="eastAsia" w:hAnsi="仿宋_GB2312"/>
          <w:b w:val="0"/>
          <w:bCs/>
          <w:sz w:val="32"/>
          <w:szCs w:val="32"/>
        </w:rPr>
        <w:t>年度部门决算表</w:t>
      </w:r>
    </w:p>
    <w:p>
      <w:pPr>
        <w:pStyle w:val="14"/>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14"/>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pStyle w:val="14"/>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pStyle w:val="14"/>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14"/>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14"/>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六、一般公共预算财政拨款基本支出决算明细表</w:t>
      </w:r>
    </w:p>
    <w:p>
      <w:pPr>
        <w:pStyle w:val="14"/>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14"/>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pPr>
        <w:pStyle w:val="14"/>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九、国有资本经营预算财政拨款支出决算表</w:t>
      </w:r>
    </w:p>
    <w:p>
      <w:pPr>
        <w:pStyle w:val="14"/>
        <w:spacing w:line="500" w:lineRule="exact"/>
        <w:ind w:firstLine="627" w:firstLineChars="196"/>
        <w:rPr>
          <w:rFonts w:ascii="仿宋_GB2312" w:eastAsia="仿宋_GB2312" w:cs="仿宋_GB2312"/>
          <w:b w:val="0"/>
          <w:bCs/>
          <w:sz w:val="32"/>
          <w:szCs w:val="32"/>
        </w:rPr>
      </w:pPr>
      <w:r>
        <w:rPr>
          <w:rFonts w:hint="eastAsia" w:hAnsi="仿宋_GB2312"/>
          <w:b w:val="0"/>
          <w:bCs/>
          <w:sz w:val="32"/>
          <w:szCs w:val="32"/>
        </w:rPr>
        <w:t xml:space="preserve">第三部分  </w:t>
      </w:r>
      <w:r>
        <w:rPr>
          <w:rFonts w:hAnsi="仿宋_GB2312"/>
          <w:b w:val="0"/>
          <w:bCs/>
          <w:sz w:val="32"/>
          <w:szCs w:val="32"/>
        </w:rPr>
        <w:t>2021</w:t>
      </w:r>
      <w:r>
        <w:rPr>
          <w:rFonts w:hint="eastAsia" w:hAnsi="仿宋_GB2312"/>
          <w:b w:val="0"/>
          <w:bCs/>
          <w:sz w:val="32"/>
          <w:szCs w:val="32"/>
        </w:rPr>
        <w:t>年度部门决算情况说明</w:t>
      </w:r>
    </w:p>
    <w:p>
      <w:pPr>
        <w:pStyle w:val="14"/>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spacing w:line="500" w:lineRule="exact"/>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三、支出决算情况说明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四、财政拨款收入支出决算总体情况说明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五、一般公共预算财政拨款支出决算情况说明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六、一般公共预算财政拨款基本支出决算情况说明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七、一般公共预算财政拨款三公经费支出决算情况说明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八、政府性基金预算收入支出决算情况</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九、关于机关运行经费支出说明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十、一般性支出情况</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十一、关于政府采购支出说明</w:t>
      </w:r>
    </w:p>
    <w:p>
      <w:pPr>
        <w:pStyle w:val="14"/>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十二、关于国有资产占用情况说明</w:t>
      </w:r>
    </w:p>
    <w:p>
      <w:pPr>
        <w:pStyle w:val="14"/>
        <w:spacing w:line="500" w:lineRule="exact"/>
        <w:ind w:firstLine="800" w:firstLineChars="250"/>
        <w:rPr>
          <w:rFonts w:ascii="仿宋_GB2312" w:hAnsi="仿宋_GB2312" w:eastAsia="宋体" w:cs="仿宋_GB2312"/>
          <w:sz w:val="32"/>
          <w:szCs w:val="32"/>
        </w:rPr>
      </w:pPr>
      <w:r>
        <w:rPr>
          <w:rFonts w:hint="eastAsia" w:ascii="仿宋_GB2312" w:hAnsi="仿宋_GB2312" w:eastAsia="仿宋_GB2312" w:cs="仿宋_GB2312"/>
          <w:sz w:val="32"/>
          <w:szCs w:val="32"/>
        </w:rPr>
        <w:t>十三、关于2021年度预算绩效情况的说明</w:t>
      </w:r>
    </w:p>
    <w:p>
      <w:pPr>
        <w:autoSpaceDE w:val="0"/>
        <w:autoSpaceDN w:val="0"/>
        <w:adjustRightInd w:val="0"/>
        <w:spacing w:line="500" w:lineRule="exact"/>
        <w:ind w:firstLine="640" w:firstLineChars="200"/>
        <w:jc w:val="left"/>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第四部分  名词解释</w:t>
      </w:r>
    </w:p>
    <w:p>
      <w:pPr>
        <w:pStyle w:val="2"/>
        <w:ind w:left="0" w:leftChars="0" w:firstLine="640" w:firstLineChars="200"/>
        <w:rPr>
          <w:rFonts w:hint="default" w:eastAsia="黑体"/>
          <w:lang w:val="en-US" w:eastAsia="zh-CN"/>
        </w:rPr>
      </w:pPr>
      <w:r>
        <w:rPr>
          <w:rFonts w:hint="eastAsia" w:ascii="黑体" w:hAnsi="黑体" w:eastAsia="黑体" w:cs="黑体"/>
          <w:b w:val="0"/>
          <w:bCs/>
          <w:color w:val="000000"/>
          <w:kern w:val="0"/>
          <w:sz w:val="32"/>
          <w:szCs w:val="32"/>
          <w:lang w:eastAsia="zh-CN"/>
        </w:rPr>
        <w:t>第五部分</w:t>
      </w:r>
      <w:r>
        <w:rPr>
          <w:rFonts w:hint="eastAsia" w:ascii="黑体" w:hAnsi="黑体" w:eastAsia="黑体" w:cs="黑体"/>
          <w:b w:val="0"/>
          <w:bCs/>
          <w:color w:val="000000"/>
          <w:kern w:val="0"/>
          <w:sz w:val="32"/>
          <w:szCs w:val="32"/>
          <w:lang w:val="en-US" w:eastAsia="zh-CN"/>
        </w:rPr>
        <w:t xml:space="preserve">  附件</w:t>
      </w:r>
    </w:p>
    <w:p>
      <w:pPr>
        <w:jc w:val="cente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rFonts w:ascii="宋体" w:hAnsi="宋体"/>
          <w:sz w:val="72"/>
          <w:szCs w:val="72"/>
        </w:rPr>
      </w:pPr>
    </w:p>
    <w:p>
      <w:pPr>
        <w:pStyle w:val="14"/>
        <w:jc w:val="center"/>
        <w:rPr>
          <w:rFonts w:ascii="宋体" w:hAnsi="宋体" w:eastAsia="宋体"/>
          <w:sz w:val="72"/>
          <w:szCs w:val="72"/>
        </w:rPr>
      </w:pPr>
    </w:p>
    <w:p>
      <w:pPr>
        <w:pStyle w:val="14"/>
        <w:jc w:val="center"/>
        <w:rPr>
          <w:rFonts w:ascii="宋体" w:hAnsi="宋体" w:eastAsia="宋体"/>
          <w:sz w:val="72"/>
          <w:szCs w:val="72"/>
        </w:rPr>
      </w:pPr>
    </w:p>
    <w:p>
      <w:pPr>
        <w:pStyle w:val="14"/>
        <w:jc w:val="center"/>
        <w:rPr>
          <w:rFonts w:ascii="宋体" w:hAnsi="宋体" w:eastAsia="宋体"/>
          <w:sz w:val="72"/>
          <w:szCs w:val="72"/>
        </w:rPr>
      </w:pPr>
    </w:p>
    <w:p>
      <w:pPr>
        <w:pStyle w:val="14"/>
        <w:jc w:val="center"/>
        <w:rPr>
          <w:rFonts w:ascii="宋体" w:hAnsi="宋体" w:eastAsia="宋体"/>
          <w:sz w:val="72"/>
          <w:szCs w:val="72"/>
        </w:rPr>
      </w:pPr>
    </w:p>
    <w:p>
      <w:pPr>
        <w:pStyle w:val="14"/>
        <w:jc w:val="center"/>
        <w:rPr>
          <w:rFonts w:ascii="宋体" w:hAnsi="宋体" w:eastAsia="宋体"/>
          <w:sz w:val="72"/>
          <w:szCs w:val="72"/>
        </w:rPr>
      </w:pPr>
      <w:r>
        <w:rPr>
          <w:rFonts w:hint="eastAsia" w:ascii="宋体" w:hAnsi="宋体" w:eastAsia="宋体"/>
          <w:sz w:val="72"/>
          <w:szCs w:val="72"/>
        </w:rPr>
        <w:t>第一部分</w:t>
      </w:r>
    </w:p>
    <w:p>
      <w:pPr>
        <w:pStyle w:val="14"/>
        <w:jc w:val="center"/>
        <w:rPr>
          <w:rFonts w:ascii="宋体" w:hAnsi="宋体" w:eastAsia="宋体"/>
          <w:sz w:val="72"/>
          <w:szCs w:val="72"/>
        </w:rPr>
      </w:pPr>
    </w:p>
    <w:p>
      <w:pPr>
        <w:pStyle w:val="14"/>
        <w:jc w:val="center"/>
        <w:rPr>
          <w:rFonts w:ascii="宋体" w:hAnsi="宋体" w:eastAsia="宋体"/>
          <w:sz w:val="72"/>
          <w:szCs w:val="72"/>
        </w:rPr>
      </w:pPr>
      <w:r>
        <w:rPr>
          <w:rFonts w:hint="eastAsia" w:ascii="宋体" w:hAnsi="宋体" w:eastAsia="宋体"/>
          <w:sz w:val="72"/>
          <w:szCs w:val="72"/>
        </w:rPr>
        <w:t>娄底市人民检察院概况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5"/>
        <w:ind w:left="720" w:firstLine="0" w:firstLineChars="0"/>
        <w:jc w:val="left"/>
        <w:rPr>
          <w:rFonts w:ascii="黑体" w:hAnsi="黑体" w:eastAsia="黑体"/>
          <w:sz w:val="32"/>
          <w:szCs w:val="32"/>
        </w:rPr>
      </w:pPr>
    </w:p>
    <w:p>
      <w:pPr>
        <w:pStyle w:val="15"/>
        <w:ind w:firstLine="0" w:firstLineChars="0"/>
        <w:jc w:val="left"/>
        <w:rPr>
          <w:rFonts w:ascii="黑体" w:hAnsi="黑体" w:eastAsia="黑体"/>
          <w:sz w:val="32"/>
          <w:szCs w:val="32"/>
        </w:rPr>
      </w:pPr>
    </w:p>
    <w:p>
      <w:pPr>
        <w:pStyle w:val="15"/>
        <w:numPr>
          <w:ilvl w:val="0"/>
          <w:numId w:val="1"/>
        </w:numPr>
        <w:ind w:firstLineChars="0"/>
        <w:jc w:val="left"/>
        <w:rPr>
          <w:rFonts w:ascii="黑体" w:hAnsi="黑体" w:eastAsia="黑体"/>
          <w:sz w:val="32"/>
          <w:szCs w:val="32"/>
        </w:rPr>
      </w:pPr>
      <w:r>
        <w:rPr>
          <w:rFonts w:hint="eastAsia" w:ascii="黑体" w:hAnsi="黑体" w:eastAsia="黑体"/>
          <w:sz w:val="32"/>
          <w:szCs w:val="32"/>
        </w:rPr>
        <w:t>部门职责</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湖南省娄底市人民检察院是国家的法律监督机关，领导下级人民检察院的工作，接受上级人民检察院的领导，对市人民代表大会及其常务委员会负责并报告工作。其主要职责是：</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深入贯彻习近平新时代中国特色社会主义思想，深入贯彻党的路线方针政策和决策部署，统一全市检察机关思想和行动，坚持党对检察工作的绝对领导，坚决维护习近平总书记的核心地位，坚决维护党中央权威和集中统一领导。</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（二）领导辖区内基层人民检察院工作。对基层人民检察院相关业务进行指导，研究制定全市检察工作的总体规划，部署检察工作任务。</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（三）依照法律规定对由市人民检察院直接受理的刑事案件行使侦查权，领导辖区内基层人民检察院开展依照法律规定由人民检察院直接受理的刑事案件的侦查工作。</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（四）对辖区内重大刑事案件依法审查批准逮捕、决定逮捕、提起公诉，领导辖区内基层人民检察院开展对刑事犯罪案件的审查批准逮捕、决定逮捕、提起公诉工作。</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应由市人民检察院承办的刑事、民事、行政诉讼活动及刑事、民事、行政判决和裁定等生效法律文书执行的法律监督工作，领导辖区内基层人民检察院对刑事、民事、行政诉讼活动及判决和裁定等生效法律文书执行的法律监督工作。</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（六）负责应由市人民检察院承办的提起公益诉讼工作，领导辖区内基层人民检察院开展提起公益诉讼工作。</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（七）对辖区内基层人民检察院报请核准追诉的案件进行审查，决定是否报省人民检察院。</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（八）负责应由市人民检察院承办的对监狱、看守所等执法活动的法律监督工作，领导辖区内基层人民检察院开展对监狱、看守所等执法活动的法律监督工作。</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（九）接受向市人民检察院的控告申诉，领导辖区内基层人民检察院的控告申诉检察工作。</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（十）对辖区内基层人民检察院在行使检察权中作出的决定进行审查，纠正错误决定。</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（十一）指导全市检察机关的理论研究工作。</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（十二）负责全市检察机关队伍建设和思想政治工作。领导辖区内基层人民检察院依法管理检察官及其他检察人员的工作，组织指导全市检察机关教育培训工作。</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（十三）协同市委主管部门依照干部管理权限对相关人员进行管理和考核。</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（十四）领导辖区内基层人民检察院的检务督察工作。</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（十五）规划和指导全市检察机关的财务装备工作，指导全市检察机关的检察技术信息工作。</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（十六）负责其他应当由市人民检察院承办的事项。</w:t>
      </w:r>
    </w:p>
    <w:p>
      <w:pPr>
        <w:pStyle w:val="14"/>
        <w:ind w:firstLine="800" w:firstLineChars="250"/>
        <w:rPr>
          <w:rFonts w:hint="eastAsia" w:ascii="黑体" w:hAnsi="黑体" w:eastAsia="黑体" w:cs="黑体"/>
          <w:sz w:val="32"/>
          <w:szCs w:val="32"/>
        </w:rPr>
      </w:pPr>
      <w:r>
        <w:rPr>
          <w:rFonts w:hint="eastAsia" w:ascii="黑体" w:hAnsi="黑体" w:eastAsia="黑体" w:cs="黑体"/>
          <w:sz w:val="32"/>
          <w:szCs w:val="32"/>
        </w:rPr>
        <w:t>二、机构设置及决算单位构成</w:t>
      </w:r>
    </w:p>
    <w:p>
      <w:pPr>
        <w:pStyle w:val="14"/>
        <w:ind w:firstLine="800" w:firstLineChars="25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（一）内设机构设置。</w:t>
      </w:r>
      <w:r>
        <w:rPr>
          <w:rFonts w:hint="eastAsia" w:ascii="仿宋_GB2312" w:hAnsi="仿宋_GB2312" w:eastAsia="仿宋_GB2312" w:cs="仿宋_GB2312"/>
          <w:sz w:val="32"/>
          <w:szCs w:val="32"/>
        </w:rPr>
        <w:t>娄底市检察院下辖娄星区院、冷水江市院、涟源市院、双峰县院、新化县院。内设办公室(新闻办公室)、第一检察部、第二检察部、第三检察部、第四检察部、第五检察部、第六检察部、第七检察部、第八检察部、法律政策研究室、案件管理办公室、检务督察部（巡察工作领导小组办公室）、检察技术部、计划财务装备部、政治部（司法警察支队）及机关党委、工会等组织。</w:t>
      </w:r>
    </w:p>
    <w:p>
      <w:pPr>
        <w:pStyle w:val="14"/>
        <w:ind w:firstLine="800" w:firstLineChars="25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（二）决算单位构成。</w:t>
      </w:r>
      <w:r>
        <w:rPr>
          <w:rFonts w:hint="eastAsia" w:ascii="仿宋_GB2312" w:hAnsi="仿宋_GB2312" w:eastAsia="仿宋_GB2312" w:cs="仿宋_GB2312"/>
          <w:sz w:val="32"/>
          <w:szCs w:val="32"/>
        </w:rPr>
        <w:t>娄底市人民检察院2021年部门决算汇总公开单位构成包括：娄底市人民检察院本级。</w:t>
      </w:r>
    </w:p>
    <w:p>
      <w:pPr>
        <w:pStyle w:val="7"/>
        <w:spacing w:line="687" w:lineRule="atLeast"/>
        <w:ind w:firstLine="720"/>
        <w:textAlignment w:val="center"/>
        <w:rPr>
          <w:rFonts w:ascii="仿宋_GB2312" w:eastAsia="仿宋_GB2312"/>
          <w:color w:val="333333"/>
          <w:sz w:val="35"/>
          <w:szCs w:val="35"/>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rPr>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宋体"/>
          <w:sz w:val="32"/>
          <w:szCs w:val="32"/>
        </w:rPr>
        <w:sectPr>
          <w:headerReference r:id="rId3" w:type="default"/>
          <w:footerReference r:id="rId4" w:type="default"/>
          <w:footerReference r:id="rId5" w:type="even"/>
          <w:pgSz w:w="11906" w:h="16838"/>
          <w:pgMar w:top="720" w:right="1800" w:bottom="720" w:left="1800" w:header="851" w:footer="992" w:gutter="0"/>
          <w:cols w:space="425" w:num="1"/>
          <w:docGrid w:type="lines" w:linePitch="312" w:charSpace="0"/>
        </w:sectPr>
      </w:pPr>
    </w:p>
    <w:tbl>
      <w:tblPr>
        <w:tblStyle w:val="8"/>
        <w:tblW w:w="14081" w:type="dxa"/>
        <w:tblInd w:w="93" w:type="dxa"/>
        <w:tblLayout w:type="autofit"/>
        <w:tblCellMar>
          <w:top w:w="0" w:type="dxa"/>
          <w:left w:w="108" w:type="dxa"/>
          <w:bottom w:w="0" w:type="dxa"/>
          <w:right w:w="108" w:type="dxa"/>
        </w:tblCellMar>
      </w:tblPr>
      <w:tblGrid>
        <w:gridCol w:w="14081"/>
      </w:tblGrid>
      <w:tr>
        <w:tblPrEx>
          <w:tblCellMar>
            <w:top w:w="0" w:type="dxa"/>
            <w:left w:w="108" w:type="dxa"/>
            <w:bottom w:w="0" w:type="dxa"/>
            <w:right w:w="108" w:type="dxa"/>
          </w:tblCellMar>
        </w:tblPrEx>
        <w:trPr>
          <w:trHeight w:val="360" w:hRule="atLeast"/>
        </w:trPr>
        <w:tc>
          <w:tcPr>
            <w:tcW w:w="14081" w:type="dxa"/>
            <w:tcBorders>
              <w:top w:val="nil"/>
              <w:left w:val="nil"/>
              <w:bottom w:val="nil"/>
              <w:right w:val="nil"/>
            </w:tcBorders>
            <w:noWrap/>
            <w:vAlign w:val="center"/>
          </w:tcPr>
          <w:p>
            <w:pPr>
              <w:widowControl/>
              <w:jc w:val="center"/>
              <w:rPr>
                <w:rFonts w:ascii="宋体" w:cs="宋体"/>
                <w:b/>
                <w:color w:val="000000"/>
                <w:kern w:val="0"/>
                <w:sz w:val="32"/>
                <w:szCs w:val="32"/>
              </w:rPr>
            </w:pPr>
            <w:r>
              <w:rPr>
                <w:rFonts w:hint="eastAsia" w:ascii="宋体" w:hAnsi="宋体" w:cs="宋体"/>
                <w:b/>
                <w:color w:val="000000"/>
                <w:kern w:val="0"/>
                <w:sz w:val="32"/>
                <w:szCs w:val="32"/>
              </w:rPr>
              <w:drawing>
                <wp:inline distT="0" distB="0" distL="0" distR="0">
                  <wp:extent cx="7759700" cy="4857750"/>
                  <wp:effectExtent l="19050" t="0" r="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7"/>
                          <a:srcRect/>
                          <a:stretch>
                            <a:fillRect/>
                          </a:stretch>
                        </pic:blipFill>
                        <pic:spPr>
                          <a:xfrm>
                            <a:off x="0" y="0"/>
                            <a:ext cx="7760124" cy="4857750"/>
                          </a:xfrm>
                          <a:prstGeom prst="rect">
                            <a:avLst/>
                          </a:prstGeom>
                          <a:noFill/>
                          <a:ln w="9525">
                            <a:noFill/>
                            <a:miter lim="800000"/>
                            <a:headEnd/>
                            <a:tailEnd/>
                          </a:ln>
                        </pic:spPr>
                      </pic:pic>
                    </a:graphicData>
                  </a:graphic>
                </wp:inline>
              </w:drawing>
            </w:r>
            <w:r>
              <w:rPr>
                <w:rFonts w:ascii="宋体" w:cs="宋体"/>
                <w:b/>
                <w:color w:val="000000"/>
                <w:kern w:val="0"/>
                <w:sz w:val="32"/>
                <w:szCs w:val="32"/>
              </w:rPr>
              <w:t xml:space="preserve"> </w:t>
            </w:r>
          </w:p>
          <w:p>
            <w:pPr>
              <w:widowControl/>
              <w:jc w:val="center"/>
              <w:rPr>
                <w:rFonts w:ascii="宋体" w:cs="宋体"/>
                <w:b/>
                <w:color w:val="000000"/>
                <w:kern w:val="0"/>
                <w:sz w:val="32"/>
                <w:szCs w:val="32"/>
              </w:rPr>
            </w:pPr>
            <w:r>
              <w:rPr>
                <w:rFonts w:ascii="宋体" w:cs="宋体"/>
                <w:b/>
                <w:color w:val="000000"/>
                <w:kern w:val="0"/>
                <w:sz w:val="32"/>
                <w:szCs w:val="32"/>
              </w:rPr>
              <w:drawing>
                <wp:inline distT="0" distB="0" distL="0" distR="0">
                  <wp:extent cx="8620125" cy="5267325"/>
                  <wp:effectExtent l="19050" t="0" r="9525" b="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8"/>
                          <a:srcRect/>
                          <a:stretch>
                            <a:fillRect/>
                          </a:stretch>
                        </pic:blipFill>
                        <pic:spPr>
                          <a:xfrm>
                            <a:off x="0" y="0"/>
                            <a:ext cx="8620125" cy="5267325"/>
                          </a:xfrm>
                          <a:prstGeom prst="rect">
                            <a:avLst/>
                          </a:prstGeom>
                          <a:noFill/>
                          <a:ln w="9525">
                            <a:noFill/>
                            <a:miter lim="800000"/>
                            <a:headEnd/>
                            <a:tailEnd/>
                          </a:ln>
                        </pic:spPr>
                      </pic:pic>
                    </a:graphicData>
                  </a:graphic>
                </wp:inline>
              </w:drawing>
            </w:r>
          </w:p>
        </w:tc>
      </w:tr>
    </w:tbl>
    <w:p>
      <w:r>
        <w:drawing>
          <wp:inline distT="0" distB="0" distL="0" distR="0">
            <wp:extent cx="8867775" cy="5381625"/>
            <wp:effectExtent l="19050" t="0" r="9525" b="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noChangeArrowheads="true"/>
                    </pic:cNvPicPr>
                  </pic:nvPicPr>
                  <pic:blipFill>
                    <a:blip r:embed="rId9"/>
                    <a:srcRect/>
                    <a:stretch>
                      <a:fillRect/>
                    </a:stretch>
                  </pic:blipFill>
                  <pic:spPr>
                    <a:xfrm>
                      <a:off x="0" y="0"/>
                      <a:ext cx="8863330" cy="5378927"/>
                    </a:xfrm>
                    <a:prstGeom prst="rect">
                      <a:avLst/>
                    </a:prstGeom>
                    <a:noFill/>
                    <a:ln w="9525">
                      <a:noFill/>
                      <a:miter lim="800000"/>
                      <a:headEnd/>
                      <a:tailEnd/>
                    </a:ln>
                  </pic:spPr>
                </pic:pic>
              </a:graphicData>
            </a:graphic>
          </wp:inline>
        </w:drawing>
      </w:r>
    </w:p>
    <w:p>
      <w:r>
        <w:drawing>
          <wp:inline distT="0" distB="0" distL="0" distR="0">
            <wp:extent cx="8867140" cy="5286375"/>
            <wp:effectExtent l="19050" t="0" r="0" b="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noChangeArrowheads="true"/>
                    </pic:cNvPicPr>
                  </pic:nvPicPr>
                  <pic:blipFill>
                    <a:blip r:embed="rId10"/>
                    <a:srcRect/>
                    <a:stretch>
                      <a:fillRect/>
                    </a:stretch>
                  </pic:blipFill>
                  <pic:spPr>
                    <a:xfrm>
                      <a:off x="0" y="0"/>
                      <a:ext cx="8863330" cy="5283866"/>
                    </a:xfrm>
                    <a:prstGeom prst="rect">
                      <a:avLst/>
                    </a:prstGeom>
                    <a:noFill/>
                    <a:ln w="9525">
                      <a:noFill/>
                      <a:miter lim="800000"/>
                      <a:headEnd/>
                      <a:tailEnd/>
                    </a:ln>
                  </pic:spPr>
                </pic:pic>
              </a:graphicData>
            </a:graphic>
          </wp:inline>
        </w:drawing>
      </w:r>
    </w:p>
    <w:p>
      <w:r>
        <w:drawing>
          <wp:inline distT="0" distB="0" distL="0" distR="0">
            <wp:extent cx="8782050" cy="5305425"/>
            <wp:effectExtent l="19050" t="0" r="0" b="0"/>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noChangeArrowheads="true"/>
                    </pic:cNvPicPr>
                  </pic:nvPicPr>
                  <pic:blipFill>
                    <a:blip r:embed="rId11"/>
                    <a:srcRect/>
                    <a:stretch>
                      <a:fillRect/>
                    </a:stretch>
                  </pic:blipFill>
                  <pic:spPr>
                    <a:xfrm>
                      <a:off x="0" y="0"/>
                      <a:ext cx="8782050" cy="5305425"/>
                    </a:xfrm>
                    <a:prstGeom prst="rect">
                      <a:avLst/>
                    </a:prstGeom>
                    <a:noFill/>
                    <a:ln w="9525">
                      <a:noFill/>
                      <a:miter lim="800000"/>
                      <a:headEnd/>
                      <a:tailEnd/>
                    </a:ln>
                  </pic:spPr>
                </pic:pic>
              </a:graphicData>
            </a:graphic>
          </wp:inline>
        </w:drawing>
      </w:r>
    </w:p>
    <w:p>
      <w:r>
        <w:drawing>
          <wp:inline distT="0" distB="0" distL="114300" distR="114300">
            <wp:extent cx="8854440" cy="5429250"/>
            <wp:effectExtent l="0" t="0" r="3810" b="0"/>
            <wp:docPr id="10"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true"/>
                    </pic:cNvPicPr>
                  </pic:nvPicPr>
                  <pic:blipFill>
                    <a:blip r:embed="rId12"/>
                    <a:stretch>
                      <a:fillRect/>
                    </a:stretch>
                  </pic:blipFill>
                  <pic:spPr>
                    <a:xfrm>
                      <a:off x="0" y="0"/>
                      <a:ext cx="8854440" cy="5429250"/>
                    </a:xfrm>
                    <a:prstGeom prst="rect">
                      <a:avLst/>
                    </a:prstGeom>
                    <a:noFill/>
                    <a:ln>
                      <a:noFill/>
                    </a:ln>
                  </pic:spPr>
                </pic:pic>
              </a:graphicData>
            </a:graphic>
          </wp:inline>
        </w:drawing>
      </w:r>
    </w:p>
    <w:p>
      <w:r>
        <w:drawing>
          <wp:inline distT="0" distB="0" distL="114300" distR="114300">
            <wp:extent cx="8860790" cy="1773555"/>
            <wp:effectExtent l="0" t="0" r="16510" b="17145"/>
            <wp:docPr id="11"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true"/>
                    </pic:cNvPicPr>
                  </pic:nvPicPr>
                  <pic:blipFill>
                    <a:blip r:embed="rId13"/>
                    <a:stretch>
                      <a:fillRect/>
                    </a:stretch>
                  </pic:blipFill>
                  <pic:spPr>
                    <a:xfrm>
                      <a:off x="0" y="0"/>
                      <a:ext cx="8860790" cy="1773555"/>
                    </a:xfrm>
                    <a:prstGeom prst="rect">
                      <a:avLst/>
                    </a:prstGeom>
                    <a:noFill/>
                    <a:ln>
                      <a:noFill/>
                    </a:ln>
                  </pic:spPr>
                </pic:pic>
              </a:graphicData>
            </a:graphic>
          </wp:inline>
        </w:drawing>
      </w:r>
      <w:r>
        <w:drawing>
          <wp:inline distT="0" distB="0" distL="114300" distR="114300">
            <wp:extent cx="8837930" cy="1666240"/>
            <wp:effectExtent l="0" t="0" r="1270" b="10160"/>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14"/>
                    <a:stretch>
                      <a:fillRect/>
                    </a:stretch>
                  </pic:blipFill>
                  <pic:spPr>
                    <a:xfrm>
                      <a:off x="0" y="0"/>
                      <a:ext cx="8837930" cy="1666240"/>
                    </a:xfrm>
                    <a:prstGeom prst="rect">
                      <a:avLst/>
                    </a:prstGeom>
                    <a:noFill/>
                    <a:ln>
                      <a:noFill/>
                    </a:ln>
                  </pic:spPr>
                </pic:pic>
              </a:graphicData>
            </a:graphic>
          </wp:inline>
        </w:drawing>
      </w:r>
      <w:r>
        <w:drawing>
          <wp:inline distT="0" distB="0" distL="114300" distR="114300">
            <wp:extent cx="8848725" cy="1506220"/>
            <wp:effectExtent l="0" t="0" r="9525" b="17780"/>
            <wp:docPr id="9"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true"/>
                    </pic:cNvPicPr>
                  </pic:nvPicPr>
                  <pic:blipFill>
                    <a:blip r:embed="rId15"/>
                    <a:stretch>
                      <a:fillRect/>
                    </a:stretch>
                  </pic:blipFill>
                  <pic:spPr>
                    <a:xfrm>
                      <a:off x="0" y="0"/>
                      <a:ext cx="8848725" cy="1506220"/>
                    </a:xfrm>
                    <a:prstGeom prst="rect">
                      <a:avLst/>
                    </a:prstGeom>
                    <a:noFill/>
                    <a:ln>
                      <a:noFill/>
                    </a:ln>
                  </pic:spPr>
                </pic:pic>
              </a:graphicData>
            </a:graphic>
          </wp:inline>
        </w:drawing>
      </w:r>
    </w:p>
    <w:p/>
    <w:p/>
    <w:p>
      <w:pPr>
        <w:sectPr>
          <w:pgSz w:w="16838" w:h="11906" w:orient="landscape"/>
          <w:pgMar w:top="1800" w:right="1440" w:bottom="1800" w:left="1440" w:header="851" w:footer="992" w:gutter="0"/>
          <w:cols w:space="425" w:num="1"/>
          <w:docGrid w:type="lines" w:linePitch="312" w:charSpace="0"/>
        </w:sectPr>
      </w:pPr>
    </w:p>
    <w:p>
      <w:pPr>
        <w:pStyle w:val="14"/>
        <w:jc w:val="center"/>
        <w:rPr>
          <w:rFonts w:hint="eastAsia" w:ascii="宋体" w:hAnsi="宋体" w:eastAsia="宋体"/>
          <w:sz w:val="72"/>
          <w:szCs w:val="72"/>
        </w:rPr>
      </w:pPr>
    </w:p>
    <w:p>
      <w:pPr>
        <w:pStyle w:val="14"/>
        <w:jc w:val="center"/>
        <w:rPr>
          <w:rFonts w:hint="eastAsia" w:ascii="宋体" w:hAnsi="宋体" w:eastAsia="宋体"/>
          <w:sz w:val="72"/>
          <w:szCs w:val="72"/>
        </w:rPr>
      </w:pPr>
    </w:p>
    <w:p>
      <w:pPr>
        <w:pStyle w:val="14"/>
        <w:jc w:val="center"/>
        <w:rPr>
          <w:rFonts w:hint="eastAsia" w:ascii="宋体" w:hAnsi="宋体" w:eastAsia="宋体"/>
          <w:sz w:val="72"/>
          <w:szCs w:val="72"/>
        </w:rPr>
      </w:pPr>
    </w:p>
    <w:p>
      <w:pPr>
        <w:pStyle w:val="14"/>
        <w:jc w:val="center"/>
        <w:rPr>
          <w:rFonts w:ascii="宋体" w:hAnsi="宋体" w:eastAsia="宋体"/>
          <w:sz w:val="72"/>
          <w:szCs w:val="72"/>
        </w:rPr>
      </w:pPr>
      <w:r>
        <w:rPr>
          <w:rFonts w:hint="eastAsia" w:ascii="宋体" w:hAnsi="宋体" w:eastAsia="宋体"/>
          <w:sz w:val="72"/>
          <w:szCs w:val="72"/>
        </w:rPr>
        <w:t>第三部分</w:t>
      </w:r>
    </w:p>
    <w:p>
      <w:pPr>
        <w:pStyle w:val="14"/>
        <w:jc w:val="center"/>
        <w:rPr>
          <w:rFonts w:ascii="宋体" w:hAnsi="宋体" w:eastAsia="宋体"/>
          <w:sz w:val="70"/>
          <w:szCs w:val="70"/>
        </w:rPr>
      </w:pPr>
    </w:p>
    <w:p>
      <w:pPr>
        <w:pStyle w:val="14"/>
        <w:jc w:val="center"/>
        <w:rPr>
          <w:rFonts w:ascii="宋体" w:hAnsi="宋体" w:eastAsia="宋体"/>
          <w:sz w:val="70"/>
          <w:szCs w:val="70"/>
        </w:rPr>
      </w:pPr>
      <w:r>
        <w:rPr>
          <w:rFonts w:ascii="宋体" w:hAnsi="宋体" w:eastAsia="宋体"/>
          <w:sz w:val="70"/>
          <w:szCs w:val="70"/>
        </w:rPr>
        <w:t>2021</w:t>
      </w:r>
      <w:r>
        <w:rPr>
          <w:rFonts w:hint="eastAsia" w:ascii="宋体" w:hAnsi="宋体" w:eastAsia="宋体"/>
          <w:sz w:val="70"/>
          <w:szCs w:val="70"/>
        </w:rPr>
        <w:t>年度部门决算情况</w:t>
      </w:r>
    </w:p>
    <w:p>
      <w:pPr>
        <w:pStyle w:val="14"/>
        <w:jc w:val="center"/>
        <w:rPr>
          <w:rFonts w:ascii="宋体" w:hAnsi="宋体" w:eastAsia="宋体"/>
          <w:sz w:val="70"/>
          <w:szCs w:val="70"/>
        </w:rPr>
      </w:pPr>
      <w:r>
        <w:rPr>
          <w:rFonts w:hint="eastAsia" w:ascii="宋体" w:hAnsi="宋体" w:eastAsia="宋体"/>
          <w:sz w:val="70"/>
          <w:szCs w:val="70"/>
        </w:rPr>
        <w:t>说明</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14"/>
        <w:rPr>
          <w:rFonts w:hint="eastAsia" w:hAnsi="黑体"/>
          <w:b/>
          <w:sz w:val="32"/>
          <w:szCs w:val="32"/>
        </w:rPr>
      </w:pPr>
    </w:p>
    <w:p>
      <w:pPr>
        <w:pStyle w:val="14"/>
        <w:rPr>
          <w:rFonts w:hAnsi="黑体"/>
          <w:b w:val="0"/>
          <w:bCs/>
          <w:sz w:val="32"/>
          <w:szCs w:val="32"/>
        </w:rPr>
      </w:pPr>
      <w:r>
        <w:rPr>
          <w:rFonts w:hint="eastAsia" w:hAnsi="黑体"/>
          <w:b/>
          <w:sz w:val="32"/>
          <w:szCs w:val="32"/>
        </w:rPr>
        <w:t xml:space="preserve">  </w:t>
      </w:r>
      <w:r>
        <w:rPr>
          <w:rFonts w:hint="default" w:hAnsi="黑体"/>
          <w:b/>
          <w:sz w:val="32"/>
          <w:szCs w:val="32"/>
          <w:lang w:val="en"/>
        </w:rPr>
        <w:t xml:space="preserve"> </w:t>
      </w:r>
      <w:r>
        <w:rPr>
          <w:rFonts w:hint="eastAsia" w:hAnsi="黑体"/>
          <w:b/>
          <w:sz w:val="32"/>
          <w:szCs w:val="32"/>
        </w:rPr>
        <w:t xml:space="preserve"> </w:t>
      </w:r>
      <w:r>
        <w:rPr>
          <w:rFonts w:hint="eastAsia" w:hAnsi="黑体"/>
          <w:b w:val="0"/>
          <w:bCs/>
          <w:sz w:val="32"/>
          <w:szCs w:val="32"/>
        </w:rPr>
        <w:t>一、收入支出决算总体情况说明</w:t>
      </w:r>
    </w:p>
    <w:p>
      <w:pPr>
        <w:pStyle w:val="14"/>
        <w:ind w:firstLine="640" w:firstLineChars="200"/>
        <w:rPr>
          <w:rFonts w:hint="eastAsia" w:ascii="宋体" w:hAnsi="宋体" w:eastAsia="宋体"/>
          <w:sz w:val="32"/>
          <w:szCs w:val="32"/>
        </w:rPr>
      </w:pPr>
      <w:r>
        <w:rPr>
          <w:rFonts w:hint="eastAsia" w:ascii="仿宋_GB2312" w:hAnsi="仿宋_GB2312" w:eastAsia="仿宋_GB2312" w:cs="仿宋_GB2312"/>
          <w:sz w:val="32"/>
          <w:szCs w:val="32"/>
        </w:rPr>
        <w:t>2021年度收、支总计4170.62万元。与上年4930.38万元相比，减少759.76万元，减少15.41%，主要是因为其他</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减少。</w:t>
      </w:r>
    </w:p>
    <w:p>
      <w:pPr>
        <w:pStyle w:val="14"/>
        <w:tabs>
          <w:tab w:val="left" w:pos="6720"/>
        </w:tabs>
        <w:rPr>
          <w:rFonts w:hAnsi="黑体"/>
          <w:b/>
          <w:sz w:val="32"/>
          <w:szCs w:val="32"/>
        </w:rPr>
      </w:pPr>
      <w:r>
        <w:rPr>
          <w:rFonts w:hint="eastAsia" w:hAnsi="黑体"/>
          <w:b/>
          <w:sz w:val="32"/>
          <w:szCs w:val="32"/>
        </w:rPr>
        <w:t xml:space="preserve">    </w:t>
      </w:r>
      <w:r>
        <w:rPr>
          <w:rFonts w:hint="eastAsia" w:hAnsi="黑体"/>
          <w:b w:val="0"/>
          <w:bCs/>
          <w:sz w:val="32"/>
          <w:szCs w:val="32"/>
        </w:rPr>
        <w:t>二、收入决算情况说明</w:t>
      </w:r>
      <w:r>
        <w:rPr>
          <w:rFonts w:hAnsi="黑体"/>
          <w:b/>
          <w:sz w:val="32"/>
          <w:szCs w:val="32"/>
        </w:rPr>
        <w:tab/>
      </w:r>
    </w:p>
    <w:p>
      <w:pPr>
        <w:pStyle w:val="14"/>
        <w:ind w:firstLine="640" w:firstLineChars="200"/>
        <w:rPr>
          <w:rFonts w:ascii="宋体" w:hAnsi="宋体" w:eastAsia="宋体"/>
          <w:sz w:val="32"/>
          <w:szCs w:val="32"/>
        </w:rPr>
      </w:pPr>
      <w:r>
        <w:rPr>
          <w:rFonts w:hint="eastAsia" w:ascii="仿宋_GB2312" w:hAnsi="仿宋_GB2312" w:eastAsia="仿宋_GB2312" w:cs="仿宋_GB2312"/>
          <w:sz w:val="32"/>
          <w:szCs w:val="32"/>
        </w:rPr>
        <w:t>本年收入合计4052.71万元，其中：财政拨款收入3239.07万元，占79.92%；其他收入813.64万元，占20.08%。</w:t>
      </w:r>
    </w:p>
    <w:p>
      <w:pPr>
        <w:pStyle w:val="14"/>
        <w:rPr>
          <w:rFonts w:hAnsi="黑体"/>
          <w:b/>
          <w:sz w:val="32"/>
          <w:szCs w:val="32"/>
        </w:rPr>
      </w:pPr>
      <w:r>
        <w:rPr>
          <w:rFonts w:hint="eastAsia" w:hAnsi="黑体"/>
          <w:b/>
          <w:sz w:val="32"/>
          <w:szCs w:val="32"/>
        </w:rPr>
        <w:t xml:space="preserve">    </w:t>
      </w:r>
      <w:r>
        <w:rPr>
          <w:rFonts w:hint="eastAsia" w:hAnsi="黑体"/>
          <w:b w:val="0"/>
          <w:bCs/>
          <w:sz w:val="32"/>
          <w:szCs w:val="32"/>
        </w:rPr>
        <w:t>三、支出决算情况说明</w:t>
      </w:r>
    </w:p>
    <w:p>
      <w:pPr>
        <w:pStyle w:val="1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本年支出合计4069.05万元，其中：基本支出3581.89万元，占88.03%；项目支出487.16万元，占11.97%。</w:t>
      </w:r>
    </w:p>
    <w:p>
      <w:pPr>
        <w:pStyle w:val="14"/>
        <w:rPr>
          <w:rFonts w:hAnsi="黑体"/>
          <w:b/>
          <w:sz w:val="32"/>
          <w:szCs w:val="32"/>
        </w:rPr>
      </w:pPr>
      <w:r>
        <w:rPr>
          <w:rFonts w:hint="eastAsia" w:hAnsi="黑体"/>
          <w:b/>
          <w:sz w:val="32"/>
          <w:szCs w:val="32"/>
        </w:rPr>
        <w:t xml:space="preserve">   </w:t>
      </w:r>
      <w:r>
        <w:rPr>
          <w:rFonts w:hint="eastAsia" w:hAnsi="黑体"/>
          <w:b w:val="0"/>
          <w:bCs/>
          <w:sz w:val="32"/>
          <w:szCs w:val="32"/>
        </w:rPr>
        <w:t xml:space="preserve"> 四、财政拨款收入支出决算总体情况说明</w:t>
      </w:r>
    </w:p>
    <w:p>
      <w:pPr>
        <w:pStyle w:val="14"/>
        <w:ind w:firstLine="645"/>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2021年度财政拨款收、支总计</w:t>
      </w:r>
      <w:r>
        <w:rPr>
          <w:rFonts w:hint="eastAsia" w:ascii="仿宋_GB2312" w:hAnsi="仿宋_GB2312" w:eastAsia="仿宋_GB2312" w:cs="仿宋_GB2312"/>
          <w:sz w:val="32"/>
          <w:szCs w:val="32"/>
          <w:lang w:val="en-US" w:eastAsia="zh-CN"/>
        </w:rPr>
        <w:t>3356.99</w:t>
      </w:r>
      <w:r>
        <w:rPr>
          <w:rFonts w:hint="eastAsia" w:ascii="仿宋_GB2312" w:hAnsi="仿宋_GB2312" w:eastAsia="仿宋_GB2312" w:cs="仿宋_GB2312"/>
          <w:sz w:val="32"/>
          <w:szCs w:val="32"/>
        </w:rPr>
        <w:t>万元，与上年2935.28万元相比，增加</w:t>
      </w:r>
      <w:r>
        <w:rPr>
          <w:rFonts w:hint="eastAsia" w:ascii="仿宋_GB2312" w:hAnsi="仿宋_GB2312" w:eastAsia="仿宋_GB2312" w:cs="仿宋_GB2312"/>
          <w:sz w:val="32"/>
          <w:szCs w:val="32"/>
          <w:lang w:val="en-US" w:eastAsia="zh-CN"/>
        </w:rPr>
        <w:t>421.71</w:t>
      </w:r>
      <w:r>
        <w:rPr>
          <w:rFonts w:hint="eastAsia" w:ascii="仿宋_GB2312" w:hAnsi="仿宋_GB2312" w:eastAsia="仿宋_GB2312" w:cs="仿宋_GB2312"/>
          <w:sz w:val="32"/>
          <w:szCs w:val="32"/>
        </w:rPr>
        <w:t>万元,增加1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%，主要是因</w:t>
      </w:r>
      <w:r>
        <w:rPr>
          <w:rFonts w:hint="eastAsia" w:ascii="仿宋_GB2312" w:hAnsi="仿宋_GB2312" w:eastAsia="仿宋_GB2312" w:cs="仿宋_GB2312"/>
          <w:color w:val="000000" w:themeColor="text1"/>
          <w:sz w:val="32"/>
          <w:szCs w:val="32"/>
        </w:rPr>
        <w:t>为</w:t>
      </w:r>
      <w:r>
        <w:rPr>
          <w:rFonts w:hint="eastAsia" w:ascii="仿宋_GB2312" w:hAnsi="仿宋_GB2312" w:eastAsia="仿宋_GB2312" w:cs="仿宋_GB2312"/>
          <w:sz w:val="32"/>
          <w:szCs w:val="32"/>
          <w:lang w:eastAsia="zh-CN"/>
        </w:rPr>
        <w:t>办案业务经费支出增加。</w:t>
      </w:r>
      <w:bookmarkStart w:id="1" w:name="_GoBack"/>
      <w:bookmarkEnd w:id="1"/>
    </w:p>
    <w:p>
      <w:pPr>
        <w:pStyle w:val="14"/>
        <w:ind w:firstLine="645"/>
        <w:rPr>
          <w:rFonts w:hAnsi="黑体"/>
          <w:b w:val="0"/>
          <w:bCs/>
          <w:sz w:val="32"/>
          <w:szCs w:val="32"/>
        </w:rPr>
      </w:pPr>
      <w:r>
        <w:rPr>
          <w:rFonts w:hint="eastAsia" w:hAnsi="黑体"/>
          <w:b w:val="0"/>
          <w:bCs/>
          <w:sz w:val="32"/>
          <w:szCs w:val="32"/>
        </w:rPr>
        <w:t>五、一般公共预算财政拨款支出决算情况说明</w:t>
      </w:r>
    </w:p>
    <w:p>
      <w:pPr>
        <w:pStyle w:val="14"/>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（一）财政拨款支出决算总体情况</w:t>
      </w:r>
    </w:p>
    <w:p>
      <w:pPr>
        <w:pStyle w:val="14"/>
        <w:ind w:firstLine="800" w:firstLineChars="250"/>
        <w:rPr>
          <w:rFonts w:ascii="宋体" w:hAnsi="宋体" w:eastAsia="宋体"/>
          <w:sz w:val="32"/>
          <w:szCs w:val="32"/>
        </w:rPr>
      </w:pPr>
      <w:r>
        <w:rPr>
          <w:rFonts w:hint="eastAsia" w:ascii="仿宋_GB2312" w:hAnsi="仿宋_GB2312" w:eastAsia="仿宋_GB2312" w:cs="仿宋_GB2312"/>
          <w:sz w:val="32"/>
          <w:szCs w:val="32"/>
        </w:rPr>
        <w:t>2021年度财政拨款支出3255.42万元，占本年支出合计的80%，与上年2814.28万元相比，财政拨款支出增加441.14万元，增加15.68%，主要原因：办案经费支出增加。</w:t>
      </w:r>
    </w:p>
    <w:p>
      <w:pPr>
        <w:pStyle w:val="14"/>
        <w:ind w:firstLine="480" w:firstLineChars="15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（二）财政拨款支出决算结构情况</w:t>
      </w:r>
    </w:p>
    <w:p>
      <w:pPr>
        <w:pStyle w:val="1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财政拨款支出3255.42万元，主要用于以下方面：一般公共服务支出7万元，占0.22%；公共安全支出2780.01万元，占85.4%；教育支出4万元，占比0.12%；社会保障和就业支出153.49万元，占4.71%;卫生健康支出147.62万元，占4.53%；住房保障支出163.3万元，占5.02%。</w:t>
      </w:r>
    </w:p>
    <w:p>
      <w:pPr>
        <w:pStyle w:val="14"/>
        <w:rPr>
          <w:rFonts w:ascii="宋体" w:hAnsi="宋体" w:eastAsia="宋体"/>
          <w:b/>
          <w:sz w:val="32"/>
          <w:szCs w:val="32"/>
        </w:rPr>
      </w:pPr>
      <w:r>
        <w:rPr>
          <w:rFonts w:hint="eastAsia" w:ascii="宋体" w:hAnsi="宋体" w:eastAsia="宋体"/>
          <w:b/>
          <w:sz w:val="32"/>
          <w:szCs w:val="32"/>
        </w:rPr>
        <w:t xml:space="preserve">   </w:t>
      </w:r>
      <w:r>
        <w:rPr>
          <w:rFonts w:hint="eastAsia" w:ascii="楷体_GB2312" w:hAnsi="楷体_GB2312" w:eastAsia="楷体_GB2312" w:cs="楷体_GB2312"/>
          <w:b w:val="0"/>
          <w:bCs/>
          <w:sz w:val="32"/>
          <w:szCs w:val="32"/>
        </w:rPr>
        <w:t>（三）财政拨款支出决算具体情况</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2021年度财政拨款支出年初预算数为2966.97万元，支出决算数为3255.42万元，</w:t>
      </w:r>
      <w:r>
        <w:rPr>
          <w:rFonts w:hint="eastAsia" w:ascii="仿宋_GB2312" w:hAnsi="仿宋_GB2312" w:eastAsia="仿宋_GB2312" w:cs="仿宋_GB2312"/>
          <w:sz w:val="32"/>
          <w:szCs w:val="32"/>
          <w:lang w:eastAsia="zh-CN"/>
        </w:rPr>
        <w:t>完成年初预算</w:t>
      </w:r>
      <w:r>
        <w:rPr>
          <w:rFonts w:hint="eastAsia" w:ascii="仿宋_GB2312" w:hAnsi="仿宋_GB2312" w:eastAsia="仿宋_GB2312" w:cs="仿宋_GB2312"/>
          <w:sz w:val="32"/>
          <w:szCs w:val="32"/>
          <w:lang w:val="en-US" w:eastAsia="zh-CN"/>
        </w:rPr>
        <w:t>109.72%，</w:t>
      </w:r>
      <w:r>
        <w:rPr>
          <w:rFonts w:hint="eastAsia" w:ascii="仿宋_GB2312" w:hAnsi="仿宋_GB2312" w:eastAsia="仿宋_GB2312" w:cs="仿宋_GB2312"/>
          <w:sz w:val="32"/>
          <w:szCs w:val="32"/>
        </w:rPr>
        <w:t>其中：</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1、公共安全支出（类）检察（款）行政运行（项）。</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年初预算为2269.05万元，支出决算为2299.85万元，</w:t>
      </w:r>
      <w:r>
        <w:rPr>
          <w:rFonts w:hint="eastAsia" w:ascii="仿宋_GB2312" w:hAnsi="仿宋_GB2312" w:eastAsia="仿宋_GB2312" w:cs="仿宋_GB2312"/>
          <w:sz w:val="32"/>
          <w:szCs w:val="32"/>
          <w:lang w:eastAsia="zh-CN"/>
        </w:rPr>
        <w:t>完成年初预算</w:t>
      </w:r>
      <w:r>
        <w:rPr>
          <w:rFonts w:hint="eastAsia" w:ascii="仿宋_GB2312" w:hAnsi="仿宋_GB2312" w:eastAsia="仿宋_GB2312" w:cs="仿宋_GB2312"/>
          <w:sz w:val="32"/>
          <w:szCs w:val="32"/>
          <w:lang w:val="en-US" w:eastAsia="zh-CN"/>
        </w:rPr>
        <w:t>101.36%，</w:t>
      </w:r>
      <w:r>
        <w:rPr>
          <w:rFonts w:hint="eastAsia" w:ascii="仿宋_GB2312" w:hAnsi="仿宋_GB2312" w:eastAsia="仿宋_GB2312" w:cs="仿宋_GB2312"/>
          <w:sz w:val="32"/>
          <w:szCs w:val="32"/>
        </w:rPr>
        <w:t>决算数大于年初预算数的主要原因是年中调整预算指标导致。</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2、公共安全支出（类）检察（款）一般行政管理事务（项）。</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年初预算为205.7万元，支出决算为240.66万元，</w:t>
      </w:r>
      <w:r>
        <w:rPr>
          <w:rFonts w:hint="eastAsia" w:ascii="仿宋_GB2312" w:hAnsi="仿宋_GB2312" w:eastAsia="仿宋_GB2312" w:cs="仿宋_GB2312"/>
          <w:sz w:val="32"/>
          <w:szCs w:val="32"/>
          <w:lang w:eastAsia="zh-CN"/>
        </w:rPr>
        <w:t>完成年初预算</w:t>
      </w:r>
      <w:r>
        <w:rPr>
          <w:rFonts w:hint="eastAsia" w:ascii="仿宋_GB2312" w:hAnsi="仿宋_GB2312" w:eastAsia="仿宋_GB2312" w:cs="仿宋_GB2312"/>
          <w:sz w:val="32"/>
          <w:szCs w:val="32"/>
          <w:lang w:val="en-US" w:eastAsia="zh-CN"/>
        </w:rPr>
        <w:t>117%，</w:t>
      </w:r>
      <w:r>
        <w:rPr>
          <w:rFonts w:hint="eastAsia" w:ascii="仿宋_GB2312" w:hAnsi="仿宋_GB2312" w:eastAsia="仿宋_GB2312" w:cs="仿宋_GB2312"/>
          <w:sz w:val="32"/>
          <w:szCs w:val="32"/>
        </w:rPr>
        <w:t>决算数大于年初预算数的主要原因是年中追加预算导致。</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3、公共安全支出（类）检察（款）检察监督（项）。</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年初预算为20万元，支出决算为239.5万元，决算数大于预算数的主要原因是年中追加预算和调整预算指标导致。</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4、社会保障和就业支出（类）行政事业单位养老支出（款）机关事业单位基本养老保险缴费支出（项）。</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年初预算146.4万元，支出决算142.59万元，完成</w:t>
      </w:r>
      <w:r>
        <w:rPr>
          <w:rFonts w:hint="eastAsia" w:ascii="仿宋_GB2312" w:hAnsi="仿宋_GB2312" w:eastAsia="仿宋_GB2312" w:cs="仿宋_GB2312"/>
          <w:sz w:val="32"/>
          <w:szCs w:val="32"/>
          <w:lang w:eastAsia="zh-CN"/>
        </w:rPr>
        <w:t>年初</w:t>
      </w:r>
      <w:r>
        <w:rPr>
          <w:rFonts w:hint="eastAsia" w:ascii="仿宋_GB2312" w:hAnsi="仿宋_GB2312" w:eastAsia="仿宋_GB2312" w:cs="仿宋_GB2312"/>
          <w:sz w:val="32"/>
          <w:szCs w:val="32"/>
        </w:rPr>
        <w:t>预算97.4%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eastAsia="zh-CN"/>
        </w:rPr>
        <w:t>人员异动</w:t>
      </w:r>
      <w:r>
        <w:rPr>
          <w:rFonts w:hint="eastAsia" w:ascii="仿宋_GB2312" w:hAnsi="仿宋_GB2312" w:eastAsia="仿宋_GB2312" w:cs="仿宋_GB2312"/>
          <w:sz w:val="32"/>
          <w:szCs w:val="32"/>
        </w:rPr>
        <w:t>。</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5、社会保障和就业支出（类）行政事业单位养老支出（款）其他社会保障和就业支出（项）。</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年初预算10.9万元，支出决算10.9万元，完成</w:t>
      </w:r>
      <w:r>
        <w:rPr>
          <w:rFonts w:hint="eastAsia" w:ascii="仿宋_GB2312" w:hAnsi="仿宋_GB2312" w:eastAsia="仿宋_GB2312" w:cs="仿宋_GB2312"/>
          <w:sz w:val="32"/>
          <w:szCs w:val="32"/>
          <w:lang w:eastAsia="zh-CN"/>
        </w:rPr>
        <w:t>年初</w:t>
      </w:r>
      <w:r>
        <w:rPr>
          <w:rFonts w:hint="eastAsia" w:ascii="仿宋_GB2312" w:hAnsi="仿宋_GB2312" w:eastAsia="仿宋_GB2312" w:cs="仿宋_GB2312"/>
          <w:sz w:val="32"/>
          <w:szCs w:val="32"/>
        </w:rPr>
        <w:t>预算100%。</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6、卫生健康支出（类）行政事业单位医疗（款）行政单位医疗（项）。</w:t>
      </w:r>
    </w:p>
    <w:p>
      <w:pPr>
        <w:pStyle w:val="1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年初预算为79.76万元，支出决算为79.76万元，完成</w:t>
      </w:r>
      <w:r>
        <w:rPr>
          <w:rFonts w:hint="eastAsia" w:ascii="仿宋_GB2312" w:hAnsi="仿宋_GB2312" w:eastAsia="仿宋_GB2312" w:cs="仿宋_GB2312"/>
          <w:sz w:val="32"/>
          <w:szCs w:val="32"/>
          <w:lang w:eastAsia="zh-CN"/>
        </w:rPr>
        <w:t>年初</w:t>
      </w:r>
      <w:r>
        <w:rPr>
          <w:rFonts w:hint="eastAsia" w:ascii="仿宋_GB2312" w:hAnsi="仿宋_GB2312" w:eastAsia="仿宋_GB2312" w:cs="仿宋_GB2312"/>
          <w:sz w:val="32"/>
          <w:szCs w:val="32"/>
        </w:rPr>
        <w:t>预算100%。</w:t>
      </w:r>
    </w:p>
    <w:p>
      <w:pPr>
        <w:pStyle w:val="14"/>
        <w:numPr>
          <w:ilvl w:val="0"/>
          <w:numId w:val="2"/>
        </w:num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卫生健康支出（类）行政事业单位医疗（款）公务员医疗补助（项）。</w:t>
      </w:r>
    </w:p>
    <w:p>
      <w:pPr>
        <w:pStyle w:val="14"/>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年初预算为67.86万元，支出决算为67.86万元，完成</w:t>
      </w:r>
      <w:r>
        <w:rPr>
          <w:rFonts w:hint="eastAsia" w:ascii="仿宋_GB2312" w:hAnsi="仿宋_GB2312" w:eastAsia="仿宋_GB2312" w:cs="仿宋_GB2312"/>
          <w:sz w:val="32"/>
          <w:szCs w:val="32"/>
          <w:lang w:eastAsia="zh-CN"/>
        </w:rPr>
        <w:t>年初</w:t>
      </w:r>
      <w:r>
        <w:rPr>
          <w:rFonts w:hint="eastAsia" w:ascii="仿宋_GB2312" w:hAnsi="仿宋_GB2312" w:eastAsia="仿宋_GB2312" w:cs="仿宋_GB2312"/>
          <w:sz w:val="32"/>
          <w:szCs w:val="32"/>
        </w:rPr>
        <w:t>预算100%。</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、住房保障支出（类）住房改革支出（款）住房公积金（项）。</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年初预算为163.3万元，支出决算163.3万元，完成</w:t>
      </w:r>
      <w:r>
        <w:rPr>
          <w:rFonts w:hint="eastAsia" w:ascii="仿宋_GB2312" w:hAnsi="仿宋_GB2312" w:eastAsia="仿宋_GB2312" w:cs="仿宋_GB2312"/>
          <w:sz w:val="32"/>
          <w:szCs w:val="32"/>
          <w:lang w:eastAsia="zh-CN"/>
        </w:rPr>
        <w:t>年初</w:t>
      </w:r>
      <w:r>
        <w:rPr>
          <w:rFonts w:hint="eastAsia" w:ascii="仿宋_GB2312" w:hAnsi="仿宋_GB2312" w:eastAsia="仿宋_GB2312" w:cs="仿宋_GB2312"/>
          <w:sz w:val="32"/>
          <w:szCs w:val="32"/>
        </w:rPr>
        <w:t>预算100%。</w:t>
      </w:r>
    </w:p>
    <w:p>
      <w:pPr>
        <w:pStyle w:val="14"/>
        <w:ind w:left="319" w:leftChars="152"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、教育支出（类）进修及培训（款）培训支出（项）</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年初预算为4万元，支出决算4万元，完成</w:t>
      </w:r>
      <w:r>
        <w:rPr>
          <w:rFonts w:hint="eastAsia" w:ascii="仿宋_GB2312" w:hAnsi="仿宋_GB2312" w:eastAsia="仿宋_GB2312" w:cs="仿宋_GB2312"/>
          <w:sz w:val="32"/>
          <w:szCs w:val="32"/>
          <w:lang w:eastAsia="zh-CN"/>
        </w:rPr>
        <w:t>年初</w:t>
      </w:r>
      <w:r>
        <w:rPr>
          <w:rFonts w:hint="eastAsia" w:ascii="仿宋_GB2312" w:hAnsi="仿宋_GB2312" w:eastAsia="仿宋_GB2312" w:cs="仿宋_GB2312"/>
          <w:sz w:val="32"/>
          <w:szCs w:val="32"/>
        </w:rPr>
        <w:t>预算100%。</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、一般公共服务（类）人大事务（款）一般行政管理事务（项）。</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年初预算为0万元，支出决算7万元，完成</w:t>
      </w:r>
      <w:r>
        <w:rPr>
          <w:rFonts w:hint="eastAsia" w:ascii="仿宋_GB2312" w:hAnsi="仿宋_GB2312" w:eastAsia="仿宋_GB2312" w:cs="仿宋_GB2312"/>
          <w:sz w:val="32"/>
          <w:szCs w:val="32"/>
          <w:lang w:eastAsia="zh-CN"/>
        </w:rPr>
        <w:t>年初</w:t>
      </w:r>
      <w:r>
        <w:rPr>
          <w:rFonts w:hint="eastAsia" w:ascii="仿宋_GB2312" w:hAnsi="仿宋_GB2312" w:eastAsia="仿宋_GB2312" w:cs="仿宋_GB2312"/>
          <w:sz w:val="32"/>
          <w:szCs w:val="32"/>
        </w:rPr>
        <w:t>预算100%。决算数大于年初预算数的主要原因是年中调整预算指标导致</w:t>
      </w:r>
    </w:p>
    <w:p>
      <w:pPr>
        <w:pStyle w:val="14"/>
        <w:ind w:firstLine="627" w:firstLineChars="196"/>
        <w:rPr>
          <w:rFonts w:hAnsi="黑体"/>
          <w:b w:val="0"/>
          <w:bCs/>
          <w:sz w:val="32"/>
          <w:szCs w:val="32"/>
        </w:rPr>
      </w:pPr>
      <w:r>
        <w:rPr>
          <w:rFonts w:hint="eastAsia" w:hAnsi="黑体"/>
          <w:b w:val="0"/>
          <w:bCs/>
          <w:sz w:val="32"/>
          <w:szCs w:val="32"/>
        </w:rPr>
        <w:t>六、一般公共预算财政拨款基本支出决算情况说明</w:t>
      </w:r>
    </w:p>
    <w:p>
      <w:pPr>
        <w:pStyle w:val="1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财政拨款基本支出2768.26万元，其中：人员经费1923.03万元，占基本支出的69.47%,主要包括基本工资、津贴补贴、奖金、机关事业单位基本养老保险缴费、职工基本医疗保险缴费、公务员医疗补助缴费、其他社会保障缴费、住房公积金、其他工资福利支出和对个人和家庭补助。公用经费845.23万元，占基本支出30.53%，主要包括办公费、印刷费、水电费、邮电费、物业管理费、差旅费、维修（护）费、租赁费、公务接待费、劳务费、工会经费、福利费、公务用车运行维护费、其他交通费、其他商品服务支出和资本性支出。</w:t>
      </w:r>
    </w:p>
    <w:p>
      <w:pPr>
        <w:pStyle w:val="14"/>
        <w:ind w:firstLine="640" w:firstLineChars="200"/>
        <w:rPr>
          <w:rFonts w:hAnsi="黑体"/>
          <w:b w:val="0"/>
          <w:bCs/>
          <w:sz w:val="32"/>
          <w:szCs w:val="32"/>
        </w:rPr>
      </w:pPr>
      <w:r>
        <w:rPr>
          <w:rFonts w:hint="eastAsia" w:hAnsi="黑体"/>
          <w:b w:val="0"/>
          <w:bCs/>
          <w:sz w:val="32"/>
          <w:szCs w:val="32"/>
        </w:rPr>
        <w:t>七、一般公共预算财政拨款三公经费支出决算情况说明</w:t>
      </w:r>
    </w:p>
    <w:p>
      <w:pPr>
        <w:pStyle w:val="14"/>
        <w:ind w:firstLine="627" w:firstLineChars="196"/>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（一）“三公”经费财政拨款支出决算总体情况说明</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“三公”经费财政拨款支出预算为135万元，支出决算为135万元，完成预算的100%，其中：</w:t>
      </w:r>
    </w:p>
    <w:p>
      <w:pPr>
        <w:pStyle w:val="14"/>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因公出国（境）费支出预算为0万元，支出决算为0万元</w:t>
      </w:r>
      <w:r>
        <w:rPr>
          <w:rFonts w:hint="eastAsia" w:ascii="仿宋_GB2312" w:hAnsi="仿宋_GB2312" w:eastAsia="仿宋_GB2312" w:cs="仿宋_GB2312"/>
          <w:sz w:val="32"/>
          <w:szCs w:val="32"/>
          <w:lang w:eastAsia="zh-CN"/>
        </w:rPr>
        <w:t>，预算数等于决算数。</w:t>
      </w:r>
    </w:p>
    <w:p>
      <w:pPr>
        <w:ind w:firstLine="63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公务接待费支出预算为15万元，支出决算为21万元，决算数大于预算数的主要原因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一是年中预算调整，二是办理大要案件数增加，因办案产生的接待增加</w:t>
      </w:r>
      <w:r>
        <w:rPr>
          <w:rFonts w:hint="eastAsia" w:ascii="仿宋_GB2312" w:hAnsi="仿宋_GB2312" w:eastAsia="仿宋_GB2312" w:cs="仿宋_GB2312"/>
          <w:sz w:val="32"/>
          <w:szCs w:val="32"/>
          <w:lang w:eastAsia="zh-CN"/>
        </w:rPr>
        <w:t>，</w:t>
      </w:r>
      <w:r>
        <w:rPr>
          <w:rFonts w:hint="eastAsia" w:ascii="仿宋_GB2312" w:hAnsi="宋体" w:eastAsia="仿宋_GB2312"/>
          <w:sz w:val="32"/>
          <w:szCs w:val="32"/>
          <w:lang w:eastAsia="zh-CN"/>
        </w:rPr>
        <w:t>与上年相比增加</w:t>
      </w:r>
      <w:r>
        <w:rPr>
          <w:rFonts w:hint="eastAsia" w:ascii="仿宋_GB2312" w:hAnsi="宋体" w:eastAsia="仿宋_GB2312"/>
          <w:sz w:val="32"/>
          <w:szCs w:val="32"/>
          <w:lang w:val="en-US" w:eastAsia="zh-CN"/>
        </w:rPr>
        <w:t>14万元，</w:t>
      </w:r>
      <w:r>
        <w:rPr>
          <w:rFonts w:hint="eastAsia" w:ascii="仿宋_GB2312" w:hAnsi="宋体" w:eastAsia="仿宋_GB2312"/>
          <w:sz w:val="32"/>
          <w:szCs w:val="32"/>
          <w:lang w:eastAsia="zh-CN"/>
        </w:rPr>
        <w:t>增长</w:t>
      </w:r>
      <w:r>
        <w:rPr>
          <w:rFonts w:hint="eastAsia" w:ascii="仿宋_GB2312" w:hAnsi="宋体" w:eastAsia="仿宋_GB2312"/>
          <w:sz w:val="32"/>
          <w:szCs w:val="32"/>
          <w:lang w:val="en-US" w:eastAsia="zh-CN"/>
        </w:rPr>
        <w:t>200%，增长的主要原因是办案量增加，因办案产生的接待增加，公务接待任务加重。</w:t>
      </w:r>
    </w:p>
    <w:p>
      <w:pPr>
        <w:pStyle w:val="1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49.8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54.36</w:t>
      </w:r>
      <w:r>
        <w:rPr>
          <w:rFonts w:hint="eastAsia" w:ascii="仿宋_GB2312" w:hAnsi="仿宋_GB2312" w:eastAsia="仿宋_GB2312" w:cs="仿宋_GB2312"/>
          <w:sz w:val="32"/>
          <w:szCs w:val="32"/>
        </w:rPr>
        <w:t>万元，决算数大于预算数的主要原因是年中预算调整，与上年相比增加</w:t>
      </w:r>
      <w:r>
        <w:rPr>
          <w:rFonts w:hint="eastAsia" w:ascii="仿宋_GB2312" w:hAnsi="仿宋_GB2312" w:eastAsia="仿宋_GB2312" w:cs="仿宋_GB2312"/>
          <w:sz w:val="32"/>
          <w:szCs w:val="32"/>
          <w:lang w:val="en-US" w:eastAsia="zh-CN"/>
        </w:rPr>
        <w:t>39.03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254.6</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val="en-US" w:eastAsia="zh-CN"/>
        </w:rPr>
        <w:t>2020年仅购买了一台车辆，2021年</w:t>
      </w:r>
      <w:r>
        <w:rPr>
          <w:rFonts w:hint="eastAsia" w:ascii="仿宋_GB2312" w:hAnsi="仿宋_GB2312" w:eastAsia="仿宋_GB2312" w:cs="仿宋_GB2312"/>
          <w:sz w:val="32"/>
          <w:szCs w:val="32"/>
          <w:lang w:eastAsia="zh-CN"/>
        </w:rPr>
        <w:t>我院购买了三</w:t>
      </w:r>
      <w:r>
        <w:rPr>
          <w:rFonts w:hint="eastAsia" w:ascii="仿宋_GB2312" w:hAnsi="仿宋_GB2312" w:eastAsia="仿宋_GB2312" w:cs="仿宋_GB2312"/>
          <w:sz w:val="32"/>
          <w:szCs w:val="32"/>
          <w:lang w:val="en-US" w:eastAsia="zh-CN"/>
        </w:rPr>
        <w:t>台</w:t>
      </w:r>
      <w:r>
        <w:rPr>
          <w:rFonts w:hint="eastAsia" w:ascii="仿宋_GB2312" w:hAnsi="仿宋_GB2312" w:eastAsia="仿宋_GB2312" w:cs="仿宋_GB2312"/>
          <w:sz w:val="32"/>
          <w:szCs w:val="32"/>
          <w:lang w:eastAsia="zh-CN"/>
        </w:rPr>
        <w:t>车辆</w:t>
      </w:r>
      <w:r>
        <w:rPr>
          <w:rFonts w:hint="eastAsia" w:ascii="仿宋_GB2312" w:hAnsi="仿宋_GB2312" w:eastAsia="仿宋_GB2312" w:cs="仿宋_GB2312"/>
          <w:sz w:val="32"/>
          <w:szCs w:val="32"/>
        </w:rPr>
        <w:t>。</w:t>
      </w:r>
    </w:p>
    <w:p>
      <w:pPr>
        <w:pStyle w:val="1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70.2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59.64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84.96</w:t>
      </w:r>
      <w:r>
        <w:rPr>
          <w:rFonts w:hint="eastAsia" w:ascii="仿宋_GB2312" w:hAnsi="仿宋_GB2312" w:eastAsia="仿宋_GB2312" w:cs="仿宋_GB2312"/>
          <w:sz w:val="32"/>
          <w:szCs w:val="32"/>
        </w:rPr>
        <w:t>%，决算数小于预算数的主要原因是年中预算调整，与上年相比减少</w:t>
      </w:r>
      <w:r>
        <w:rPr>
          <w:rFonts w:hint="eastAsia" w:ascii="仿宋_GB2312" w:hAnsi="仿宋_GB2312" w:eastAsia="仿宋_GB2312" w:cs="仿宋_GB2312"/>
          <w:sz w:val="32"/>
          <w:szCs w:val="32"/>
          <w:lang w:val="en-US" w:eastAsia="zh-CN"/>
        </w:rPr>
        <w:t>38.36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39.14</w:t>
      </w:r>
      <w:r>
        <w:rPr>
          <w:rFonts w:hint="eastAsia" w:ascii="仿宋_GB2312" w:hAnsi="仿宋_GB2312" w:eastAsia="仿宋_GB2312" w:cs="仿宋_GB2312"/>
          <w:sz w:val="32"/>
          <w:szCs w:val="32"/>
        </w:rPr>
        <w:t>%,减少的主要原因是严控三公经费</w:t>
      </w:r>
      <w:r>
        <w:rPr>
          <w:rFonts w:hint="eastAsia" w:ascii="仿宋_GB2312" w:hAnsi="仿宋_GB2312" w:eastAsia="仿宋_GB2312" w:cs="仿宋_GB2312"/>
          <w:sz w:val="32"/>
          <w:szCs w:val="32"/>
          <w:lang w:eastAsia="zh-CN"/>
        </w:rPr>
        <w:t>，合理开支。</w:t>
      </w:r>
    </w:p>
    <w:p>
      <w:pPr>
        <w:pStyle w:val="14"/>
        <w:ind w:firstLine="470" w:firstLineChars="147"/>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（二）“三公”经费财政拨款支出决算具体情况说明</w:t>
      </w:r>
    </w:p>
    <w:p>
      <w:pPr>
        <w:pStyle w:val="1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2021年度“三公”经费财政拨款支出决算中，公务接待费支出决算21万元，占15.56%,因公出国（境）费支出决算0万元，占0%,公务用车购置费及运行维护费支出决算114万元，占84.44%。其中：</w:t>
      </w:r>
    </w:p>
    <w:p>
      <w:pPr>
        <w:pStyle w:val="14"/>
        <w:ind w:firstLine="800" w:firstLineChars="250"/>
        <w:rPr>
          <w:rFonts w:hint="eastAsia" w:ascii="仿宋_GB2312" w:hAnsi="仿宋_GB2312" w:eastAsia="仿宋_GB2312" w:cs="仿宋_GB2312"/>
          <w:i/>
          <w:color w:val="FF0000"/>
          <w:sz w:val="32"/>
          <w:szCs w:val="32"/>
        </w:rPr>
      </w:pPr>
      <w:r>
        <w:rPr>
          <w:rFonts w:hint="eastAsia" w:ascii="仿宋_GB2312" w:hAnsi="仿宋_GB2312" w:eastAsia="仿宋_GB2312" w:cs="仿宋_GB2312"/>
          <w:sz w:val="32"/>
          <w:szCs w:val="32"/>
        </w:rPr>
        <w:t>1、因公出国（境）费支出决算为0万元，全年安排因公出国（境）团组0个，累计0人次。</w:t>
      </w:r>
    </w:p>
    <w:p>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2、公务接待费支出决算为21万元，全年共接待来访团组369个、来宾2100人次，主要是办案及日常行政事务工作发生的接待支出。</w:t>
      </w:r>
    </w:p>
    <w:p>
      <w:pPr>
        <w:ind w:firstLine="800" w:firstLineChars="2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3、公务用车购置费及运行维护费支出决算为114万元，其中：公务用车购置费54.36万元，更新执法执勤用车3辆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公务用车运行维护费59.64万元，主要是车辆维修、油料和保险等支出，截止2021年12月31日，我单位开支财政拨款的公务用车保有量为14辆。</w:t>
      </w:r>
    </w:p>
    <w:p>
      <w:pPr>
        <w:pStyle w:val="14"/>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4"/>
        <w:ind w:firstLine="640" w:firstLineChars="200"/>
        <w:rPr>
          <w:rFonts w:hint="eastAsia" w:ascii="仿宋_GB2312" w:hAnsi="仿宋_GB2312" w:eastAsia="仿宋_GB2312" w:cs="仿宋_GB2312"/>
          <w:i/>
          <w:color w:val="auto"/>
          <w:sz w:val="32"/>
          <w:szCs w:val="32"/>
        </w:rPr>
      </w:pPr>
      <w:r>
        <w:rPr>
          <w:rFonts w:hint="eastAsia" w:ascii="仿宋_GB2312" w:hAnsi="仿宋_GB2312" w:eastAsia="仿宋_GB2312" w:cs="仿宋_GB2312"/>
          <w:color w:val="auto"/>
          <w:sz w:val="32"/>
          <w:szCs w:val="32"/>
        </w:rPr>
        <w:t>本单位无政府性基金收支。</w:t>
      </w:r>
    </w:p>
    <w:p>
      <w:pPr>
        <w:pStyle w:val="14"/>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九、关于机关运行经费支出说明</w:t>
      </w:r>
    </w:p>
    <w:p>
      <w:pPr>
        <w:pStyle w:val="7"/>
        <w:spacing w:before="0" w:beforeAutospacing="0" w:after="0" w:afterAutospacing="0"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本部门2021年度机关运行经费支出845.23万元，与上年减少78.26万元，降低8.47%。主要原因是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val="en-US" w:eastAsia="zh-CN" w:bidi="ar-SA"/>
        </w:rPr>
        <w:t>为落实中央和省委省政府过“紧”日子的政策要求，厉行节约，严控支出。</w:t>
      </w:r>
    </w:p>
    <w:p>
      <w:pPr>
        <w:pStyle w:val="14"/>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十、一般性支出情况</w:t>
      </w:r>
    </w:p>
    <w:p>
      <w:pPr>
        <w:pStyle w:val="14"/>
        <w:ind w:firstLine="627" w:firstLineChars="196"/>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eastAsia="zh-CN"/>
        </w:rPr>
        <w:t>2021年本部门会议会</w:t>
      </w:r>
      <w:r>
        <w:rPr>
          <w:rFonts w:hint="eastAsia" w:ascii="仿宋_GB2312" w:hAnsi="仿宋_GB2312" w:eastAsia="仿宋_GB2312" w:cs="仿宋_GB2312"/>
          <w:sz w:val="32"/>
          <w:szCs w:val="32"/>
          <w:lang w:val="en-US" w:eastAsia="zh-CN"/>
        </w:rPr>
        <w:t>年初预算4万元，本年合计</w:t>
      </w:r>
      <w:r>
        <w:rPr>
          <w:rFonts w:hint="eastAsia" w:ascii="仿宋_GB2312" w:hAnsi="仿宋_GB2312" w:eastAsia="仿宋_GB2312" w:cs="仿宋_GB2312"/>
          <w:sz w:val="32"/>
          <w:szCs w:val="32"/>
          <w:lang w:eastAsia="zh-CN"/>
        </w:rPr>
        <w:t>开支会议费3.96万元，用于召开各项业务工作会议</w:t>
      </w:r>
      <w:r>
        <w:rPr>
          <w:rFonts w:hint="eastAsia" w:ascii="仿宋_GB2312" w:hAnsi="仿宋_GB2312" w:eastAsia="仿宋_GB2312" w:cs="仿宋_GB2312"/>
          <w:sz w:val="32"/>
          <w:szCs w:val="32"/>
          <w:lang w:val="en-US" w:eastAsia="zh-CN"/>
        </w:rPr>
        <w:t>11次</w:t>
      </w:r>
      <w:r>
        <w:rPr>
          <w:rFonts w:hint="eastAsia" w:ascii="仿宋_GB2312" w:hAnsi="仿宋_GB2312" w:eastAsia="仿宋_GB2312" w:cs="仿宋_GB2312"/>
          <w:sz w:val="32"/>
          <w:szCs w:val="32"/>
          <w:lang w:eastAsia="zh-CN"/>
        </w:rPr>
        <w:t>；</w:t>
      </w:r>
      <w:r>
        <w:rPr>
          <w:rFonts w:hint="eastAsia" w:ascii="仿宋_GB2312" w:hAnsi="宋体" w:eastAsia="仿宋_GB2312"/>
          <w:sz w:val="32"/>
          <w:szCs w:val="32"/>
          <w:lang w:val="en-US" w:eastAsia="zh-CN"/>
        </w:rPr>
        <w:t>举办节庆、晚会、论坛、赛事活动，开支0万元；</w:t>
      </w:r>
      <w:r>
        <w:rPr>
          <w:rFonts w:hint="eastAsia" w:ascii="仿宋_GB2312" w:hAnsi="仿宋_GB2312" w:eastAsia="仿宋_GB2312" w:cs="仿宋_GB2312"/>
          <w:sz w:val="32"/>
          <w:szCs w:val="32"/>
          <w:lang w:eastAsia="zh-CN"/>
        </w:rPr>
        <w:t>开支培训费9.99万元，均用于开展各项业务、综合办公等培训</w:t>
      </w:r>
      <w:r>
        <w:rPr>
          <w:rFonts w:hint="eastAsia" w:ascii="仿宋_GB2312" w:hAnsi="仿宋_GB2312" w:eastAsia="仿宋_GB2312" w:cs="仿宋_GB2312"/>
          <w:sz w:val="32"/>
          <w:szCs w:val="32"/>
          <w:lang w:val="en-US" w:eastAsia="zh-CN"/>
        </w:rPr>
        <w:t>20余次</w:t>
      </w:r>
      <w:r>
        <w:rPr>
          <w:rFonts w:hint="eastAsia" w:ascii="仿宋_GB2312" w:hAnsi="仿宋_GB2312" w:eastAsia="仿宋_GB2312" w:cs="仿宋_GB2312"/>
          <w:sz w:val="32"/>
          <w:szCs w:val="32"/>
          <w:lang w:eastAsia="zh-CN"/>
        </w:rPr>
        <w:t>。</w:t>
      </w:r>
    </w:p>
    <w:p>
      <w:pPr>
        <w:pStyle w:val="14"/>
        <w:ind w:firstLine="627" w:firstLineChars="196"/>
        <w:rPr>
          <w:rFonts w:hAnsi="黑体"/>
          <w:b w:val="0"/>
          <w:bCs/>
          <w:sz w:val="32"/>
          <w:szCs w:val="32"/>
        </w:rPr>
      </w:pPr>
      <w:r>
        <w:rPr>
          <w:rFonts w:hint="eastAsia" w:hAnsi="黑体"/>
          <w:b w:val="0"/>
          <w:bCs/>
          <w:sz w:val="32"/>
          <w:szCs w:val="32"/>
        </w:rPr>
        <w:t>十一、关于政府采购支出说明</w:t>
      </w:r>
    </w:p>
    <w:p>
      <w:pPr>
        <w:pStyle w:val="14"/>
        <w:ind w:firstLine="640" w:firstLineChars="200"/>
        <w:rPr>
          <w:rFonts w:ascii="宋体" w:hAnsi="宋体" w:eastAsia="宋体"/>
          <w:sz w:val="32"/>
          <w:szCs w:val="32"/>
        </w:rPr>
      </w:pPr>
      <w:r>
        <w:rPr>
          <w:rFonts w:hint="eastAsia" w:ascii="仿宋_GB2312" w:hAnsi="仿宋_GB2312" w:eastAsia="仿宋_GB2312" w:cs="仿宋_GB2312"/>
          <w:sz w:val="32"/>
          <w:szCs w:val="32"/>
        </w:rPr>
        <w:t>本部门2021年度政府采购支出总额163.27万元</w:t>
      </w:r>
      <w:r>
        <w:rPr>
          <w:rFonts w:hint="eastAsia" w:ascii="仿宋_GB2312" w:hAnsi="仿宋_GB2312" w:eastAsia="仿宋_GB2312" w:cs="仿宋_GB2312"/>
          <w:sz w:val="32"/>
          <w:szCs w:val="32"/>
          <w:lang w:eastAsia="zh-CN"/>
        </w:rPr>
        <w:t>，</w:t>
      </w:r>
      <w:r>
        <w:rPr>
          <w:rFonts w:hint="eastAsia" w:ascii="仿宋_GB2312" w:hAnsi="宋体" w:eastAsia="仿宋_GB2312"/>
          <w:sz w:val="32"/>
          <w:szCs w:val="32"/>
          <w:lang w:val="en-US" w:eastAsia="zh-CN"/>
        </w:rPr>
        <w:t>其中：政府采购货物支出163.27万元、政府采购工程支出0万元、政府采购服务支出0万元。</w:t>
      </w:r>
      <w:r>
        <w:rPr>
          <w:rFonts w:hint="eastAsia" w:ascii="仿宋_GB2312" w:hAnsi="仿宋_GB2312" w:eastAsia="仿宋_GB2312" w:cs="仿宋_GB2312"/>
          <w:sz w:val="32"/>
          <w:szCs w:val="32"/>
        </w:rPr>
        <w:t>授予中小企业合同金额</w:t>
      </w:r>
      <w:r>
        <w:rPr>
          <w:rFonts w:hint="eastAsia" w:ascii="仿宋_GB2312" w:hAnsi="仿宋_GB2312" w:eastAsia="仿宋_GB2312" w:cs="仿宋_GB2312"/>
          <w:sz w:val="32"/>
          <w:szCs w:val="32"/>
          <w:lang w:val="en-US" w:eastAsia="zh-CN"/>
        </w:rPr>
        <w:t>155.82</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95.44</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149.52</w:t>
      </w:r>
      <w:r>
        <w:rPr>
          <w:rFonts w:hint="eastAsia" w:ascii="仿宋_GB2312" w:hAnsi="仿宋_GB2312" w:eastAsia="仿宋_GB2312" w:cs="仿宋_GB2312"/>
          <w:sz w:val="32"/>
          <w:szCs w:val="32"/>
        </w:rPr>
        <w:t>万元，占授予中小企业合同金额的</w:t>
      </w:r>
      <w:r>
        <w:rPr>
          <w:rFonts w:hint="eastAsia" w:ascii="仿宋_GB2312" w:hAnsi="仿宋_GB2312" w:eastAsia="仿宋_GB2312" w:cs="仿宋_GB2312"/>
          <w:sz w:val="32"/>
          <w:szCs w:val="32"/>
          <w:lang w:val="en-US" w:eastAsia="zh-CN"/>
        </w:rPr>
        <w:t>95.96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宋体" w:eastAsia="仿宋_GB2312"/>
          <w:sz w:val="32"/>
          <w:szCs w:val="32"/>
          <w:lang w:val="en-US" w:eastAsia="zh-CN"/>
        </w:rPr>
        <w:t>货物采购授予中小企业合同金额占货物支出金额的95.44%。</w:t>
      </w:r>
    </w:p>
    <w:p>
      <w:pPr>
        <w:pStyle w:val="14"/>
        <w:ind w:firstLine="627" w:firstLineChars="196"/>
        <w:rPr>
          <w:rFonts w:hAnsi="黑体"/>
          <w:b w:val="0"/>
          <w:bCs/>
          <w:sz w:val="32"/>
          <w:szCs w:val="32"/>
        </w:rPr>
      </w:pPr>
      <w:r>
        <w:rPr>
          <w:rFonts w:hint="eastAsia" w:hAnsi="黑体"/>
          <w:b w:val="0"/>
          <w:bCs/>
          <w:sz w:val="32"/>
          <w:szCs w:val="32"/>
        </w:rPr>
        <w:t>十二、关于国有资产占用情况说明</w:t>
      </w:r>
    </w:p>
    <w:p>
      <w:pPr>
        <w:pStyle w:val="14"/>
        <w:ind w:firstLine="640" w:firstLineChars="200"/>
        <w:rPr>
          <w:rFonts w:hint="eastAsia" w:ascii="仿宋_GB2312" w:hAnsi="仿宋_GB2312" w:eastAsia="仿宋_GB2312" w:cs="仿宋_GB2312"/>
          <w:sz w:val="32"/>
          <w:szCs w:val="32"/>
          <w:lang w:eastAsia="zh-CN"/>
        </w:rPr>
      </w:pPr>
      <w:r>
        <w:rPr>
          <w:rFonts w:hint="eastAsia" w:ascii="仿宋_GB2312" w:hAnsi="宋体" w:eastAsia="仿宋_GB2312"/>
          <w:sz w:val="32"/>
          <w:szCs w:val="32"/>
        </w:rPr>
        <w:t>截至2021年12月31日，</w:t>
      </w:r>
      <w:r>
        <w:rPr>
          <w:rFonts w:hint="eastAsia" w:ascii="仿宋_GB2312" w:hAnsi="宋体" w:eastAsia="仿宋_GB2312"/>
          <w:sz w:val="32"/>
          <w:szCs w:val="32"/>
          <w:lang w:eastAsia="zh-CN"/>
        </w:rPr>
        <w:t>本单位</w:t>
      </w:r>
      <w:r>
        <w:rPr>
          <w:rFonts w:hint="eastAsia" w:ascii="仿宋_GB2312" w:hAnsi="宋体" w:eastAsia="仿宋_GB2312"/>
          <w:sz w:val="32"/>
          <w:szCs w:val="32"/>
        </w:rPr>
        <w:t>共有车辆</w:t>
      </w:r>
      <w:r>
        <w:rPr>
          <w:rFonts w:hint="eastAsia" w:ascii="仿宋_GB2312" w:hAnsi="宋体" w:eastAsia="仿宋_GB2312"/>
          <w:sz w:val="32"/>
          <w:szCs w:val="32"/>
          <w:lang w:val="en-US" w:eastAsia="zh-CN"/>
        </w:rPr>
        <w:t>14</w:t>
      </w:r>
      <w:r>
        <w:rPr>
          <w:rFonts w:hint="eastAsia" w:ascii="仿宋_GB2312" w:hAnsi="宋体" w:eastAsia="仿宋_GB2312"/>
          <w:sz w:val="32"/>
          <w:szCs w:val="32"/>
        </w:rPr>
        <w:t>，其中，主要领导干部用车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辆，机要通信用车</w:t>
      </w:r>
      <w:r>
        <w:rPr>
          <w:rFonts w:hint="eastAsia" w:ascii="仿宋_GB2312" w:hAnsi="宋体" w:eastAsia="仿宋_GB2312"/>
          <w:sz w:val="32"/>
          <w:szCs w:val="32"/>
          <w:lang w:val="en-US" w:eastAsia="zh-CN"/>
        </w:rPr>
        <w:t>2</w:t>
      </w:r>
      <w:r>
        <w:rPr>
          <w:rFonts w:hint="eastAsia" w:ascii="仿宋_GB2312" w:hAnsi="宋体" w:eastAsia="仿宋_GB2312"/>
          <w:sz w:val="32"/>
          <w:szCs w:val="32"/>
        </w:rPr>
        <w:t>辆、应急保障用车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辆、执法执勤用车</w:t>
      </w:r>
      <w:r>
        <w:rPr>
          <w:rFonts w:hint="eastAsia" w:ascii="仿宋_GB2312" w:hAnsi="宋体" w:eastAsia="仿宋_GB2312"/>
          <w:sz w:val="32"/>
          <w:szCs w:val="32"/>
          <w:lang w:val="en-US" w:eastAsia="zh-CN"/>
        </w:rPr>
        <w:t>11</w:t>
      </w:r>
      <w:r>
        <w:rPr>
          <w:rFonts w:hint="eastAsia" w:ascii="仿宋_GB2312" w:hAnsi="宋体" w:eastAsia="仿宋_GB2312"/>
          <w:sz w:val="32"/>
          <w:szCs w:val="32"/>
        </w:rPr>
        <w:t>辆、特种专业技术用车</w:t>
      </w:r>
      <w:r>
        <w:rPr>
          <w:rFonts w:hint="eastAsia" w:ascii="仿宋_GB2312" w:hAnsi="宋体" w:eastAsia="仿宋_GB2312"/>
          <w:sz w:val="32"/>
          <w:szCs w:val="32"/>
          <w:lang w:val="en-US" w:eastAsia="zh-CN"/>
        </w:rPr>
        <w:t>1</w:t>
      </w:r>
      <w:r>
        <w:rPr>
          <w:rFonts w:hint="eastAsia" w:ascii="仿宋_GB2312" w:hAnsi="宋体" w:eastAsia="仿宋_GB2312"/>
          <w:sz w:val="32"/>
          <w:szCs w:val="32"/>
        </w:rPr>
        <w:t>辆、其他用车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辆；单位价值50万元以上通用设备</w:t>
      </w:r>
      <w:r>
        <w:rPr>
          <w:rFonts w:hint="eastAsia" w:ascii="仿宋_GB2312" w:hAnsi="宋体" w:eastAsia="仿宋_GB2312"/>
          <w:sz w:val="32"/>
          <w:szCs w:val="32"/>
          <w:lang w:val="en-US" w:eastAsia="zh-CN"/>
        </w:rPr>
        <w:t>2</w:t>
      </w:r>
      <w:r>
        <w:rPr>
          <w:rFonts w:hint="eastAsia" w:ascii="仿宋_GB2312" w:hAnsi="宋体" w:eastAsia="仿宋_GB2312"/>
          <w:sz w:val="32"/>
          <w:szCs w:val="32"/>
        </w:rPr>
        <w:t>台（套）；单位价值100万元以上专用设备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台（套）。</w:t>
      </w:r>
    </w:p>
    <w:p>
      <w:pPr>
        <w:pStyle w:val="14"/>
        <w:ind w:firstLine="627" w:firstLineChars="196"/>
        <w:rPr>
          <w:rFonts w:hAnsi="黑体"/>
          <w:b w:val="0"/>
          <w:bCs/>
          <w:sz w:val="32"/>
          <w:szCs w:val="32"/>
        </w:rPr>
      </w:pPr>
      <w:r>
        <w:rPr>
          <w:rFonts w:hint="eastAsia" w:hAnsi="黑体"/>
          <w:b w:val="0"/>
          <w:bCs/>
          <w:sz w:val="32"/>
          <w:szCs w:val="32"/>
        </w:rPr>
        <w:t>十三、关于</w:t>
      </w:r>
      <w:r>
        <w:rPr>
          <w:rFonts w:hAnsi="黑体"/>
          <w:b w:val="0"/>
          <w:bCs/>
          <w:sz w:val="32"/>
          <w:szCs w:val="32"/>
        </w:rPr>
        <w:t>2021</w:t>
      </w:r>
      <w:r>
        <w:rPr>
          <w:rFonts w:hint="eastAsia" w:hAnsi="黑体"/>
          <w:b w:val="0"/>
          <w:bCs/>
          <w:sz w:val="32"/>
          <w:szCs w:val="32"/>
        </w:rPr>
        <w:t>年度预算绩效情况的说明</w:t>
      </w:r>
    </w:p>
    <w:p>
      <w:pPr>
        <w:spacing w:line="6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在市委和省检察院的正确领导下,在市人大及其常委会的有力监督下,在市政府、市政协和社会各界的关心支持下,全市检察机关坚持以习近平新时代中国特色社会主义思想为指导,全面贯彻党的十九大和十九届历次全会精神,深入落实习近平总书记对湖南重要讲话重要指示批示精神,坚持“讲政治、顾大局,谋发展、重自强”总体要求,紧紧围绕“十三五”发展目标,着眼“十四五”发展开局、“三高四新”战略定位和使命任务,全面履行法律监督职能,认真执行市第五届人大历次会议决议,各项工作取得新进步。</w:t>
      </w:r>
    </w:p>
    <w:p>
      <w:pPr>
        <w:spacing w:line="480" w:lineRule="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全面落实改革任务,开拓转型发展新路,着力深化司法体制改革。完成检察人员分类管理改革,对检察官、检察辅助人员、司法行政人员实行单独职务序列管理。完成省以下人财物统一管理改革,健全检察人员职业保障。完善检察官权力清单、责任清单和管理清单,推进权责统一的司法责任制建设。积极履行检察主导责任,节约司法资源,及时化解社会矛盾。</w:t>
      </w:r>
    </w:p>
    <w:p>
      <w:pPr>
        <w:spacing w:line="480" w:lineRule="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主动融入中心工作,护航经济社会发展,坚决维护社会大局稳定。全面投入扫黑除恶专项斗争,保持严惩高压态势,坚守“不拔高、不凑数”底线,坚决打伞破网。 </w:t>
      </w:r>
    </w:p>
    <w:p>
      <w:pPr>
        <w:spacing w:line="480" w:lineRule="auto"/>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全力营造法治化营商环境。紧扣推动高质量发展主题、“三高四新”战略定位和使命任务,深入开展企业周边环境整治。建立办案影响评估机制,对涉企案件予以综合考量,针对案件久侦不结问题,联合公安机关开展涉企“挂案”清理,帮助企业卸下包袱、安心发展。</w:t>
      </w:r>
    </w:p>
    <w:p>
      <w:pPr>
        <w:spacing w:line="480" w:lineRule="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忠实履行法律监督职责,维护社会公平正义，持续优化刑事检察工作。深入推进民事检察工作，以贯彻民法典为契机,加强民事诉讼活动监督,办理民事检察案件。做细做实行政检察工作，立足维护司法公正、促进依法行政。 有序深化公益诉讼检察工作。认真落实市委、市政府《关于支持检察机关开展公益诉讼工作的意见》，督促相关部门追缴土地出让金,督促清理、腾退保障性住房,追缴租金,切实维护国家利益和社会公共利益。</w:t>
      </w:r>
    </w:p>
    <w:p>
      <w:pPr>
        <w:spacing w:line="480" w:lineRule="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积极回应群众关切,保障人民安居乐业。确保“钱袋子”安全，守护“舌尖上的安全”，保卫蓝天碧水净土， 呵护未成年人健康成长，认真办好群众身边的“小案”。</w:t>
      </w:r>
    </w:p>
    <w:p>
      <w:pPr>
        <w:spacing w:line="480" w:lineRule="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切实加强自身建设,推动检察事业行稳致远。始终坚持党的绝对领导。认真开展“两学一做”学习教育、“不忘初心、牢记使命”主题教育和党史学习教育,不断深化检察机关政治建设,增强“四个意识”，坚定“四个自信”、做到“两个维护”。</w:t>
      </w:r>
    </w:p>
    <w:p>
      <w:pPr>
        <w:spacing w:line="480" w:lineRule="auto"/>
        <w:ind w:firstLine="320" w:firstLineChars="1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扎实开展政法队伍教育整顿。落实自查从宽、被查从严政策,全市检察机关以四种形态问责处理干警123人次。严格执行防止干预司法“三个规定”,记录报告或说明情况277件次。坚决整治顽瘴痼疾,制定完善相关制度30项。从严从实正风肃纪,持续整治违反中央八项规定精神问题,认真接受省检察院党组巡视,组织对基层院系统内巡察全覆盖。真诚接受纪检监察派驻监督,立案查处违纪违法检察人员19人。</w:t>
      </w:r>
    </w:p>
    <w:p>
      <w:pPr>
        <w:spacing w:line="480" w:lineRule="auto"/>
        <w:rPr>
          <w:rFonts w:hint="eastAsia" w:ascii="宋体" w:hAnsi="宋体" w:eastAsia="宋体" w:cs="黑体"/>
          <w:color w:val="000000"/>
          <w:kern w:val="0"/>
          <w:sz w:val="32"/>
          <w:szCs w:val="32"/>
          <w:lang w:val="en-US" w:eastAsia="zh-CN" w:bidi="ar-SA"/>
        </w:rPr>
      </w:pPr>
    </w:p>
    <w:p>
      <w:pPr>
        <w:pStyle w:val="14"/>
        <w:rPr>
          <w:rFonts w:hint="eastAsia" w:ascii="仿宋_GB2312" w:hAnsi="仿宋_GB2312" w:eastAsia="仿宋_GB2312" w:cs="仿宋_GB2312"/>
          <w:color w:val="auto"/>
          <w:kern w:val="0"/>
          <w:sz w:val="32"/>
          <w:szCs w:val="32"/>
          <w:lang w:val="en-US" w:eastAsia="zh-CN" w:bidi="ar-SA"/>
        </w:rPr>
      </w:pPr>
    </w:p>
    <w:p>
      <w:pPr>
        <w:pStyle w:val="14"/>
        <w:jc w:val="center"/>
        <w:rPr>
          <w:rFonts w:hint="eastAsia" w:ascii="宋体" w:hAnsi="宋体" w:eastAsia="宋体"/>
          <w:sz w:val="72"/>
          <w:szCs w:val="72"/>
        </w:rPr>
      </w:pPr>
    </w:p>
    <w:p>
      <w:pPr>
        <w:pStyle w:val="14"/>
        <w:jc w:val="center"/>
        <w:rPr>
          <w:rFonts w:hint="eastAsia" w:ascii="宋体" w:hAnsi="宋体" w:eastAsia="宋体"/>
          <w:sz w:val="72"/>
          <w:szCs w:val="72"/>
        </w:rPr>
      </w:pPr>
    </w:p>
    <w:p>
      <w:pPr>
        <w:pStyle w:val="14"/>
        <w:jc w:val="both"/>
        <w:rPr>
          <w:rFonts w:hint="eastAsia" w:ascii="宋体" w:hAnsi="宋体" w:eastAsia="宋体"/>
          <w:sz w:val="72"/>
          <w:szCs w:val="72"/>
        </w:rPr>
      </w:pPr>
    </w:p>
    <w:p>
      <w:pPr>
        <w:pStyle w:val="14"/>
        <w:jc w:val="both"/>
        <w:rPr>
          <w:rFonts w:hint="eastAsia" w:ascii="宋体" w:hAnsi="宋体" w:eastAsia="宋体"/>
          <w:sz w:val="72"/>
          <w:szCs w:val="72"/>
        </w:rPr>
      </w:pPr>
    </w:p>
    <w:p>
      <w:pPr>
        <w:pStyle w:val="14"/>
        <w:jc w:val="center"/>
        <w:rPr>
          <w:rFonts w:hint="eastAsia" w:ascii="宋体" w:hAnsi="宋体" w:eastAsia="宋体"/>
          <w:sz w:val="72"/>
          <w:szCs w:val="72"/>
        </w:rPr>
      </w:pPr>
      <w:r>
        <w:rPr>
          <w:rFonts w:hint="eastAsia" w:ascii="宋体" w:hAnsi="宋体" w:eastAsia="宋体"/>
          <w:sz w:val="72"/>
          <w:szCs w:val="72"/>
        </w:rPr>
        <w:t>第四部分</w:t>
      </w:r>
    </w:p>
    <w:p>
      <w:pPr>
        <w:pStyle w:val="14"/>
        <w:jc w:val="center"/>
        <w:rPr>
          <w:rFonts w:hint="eastAsia" w:ascii="宋体" w:hAnsi="宋体" w:eastAsia="宋体"/>
          <w:sz w:val="72"/>
          <w:szCs w:val="72"/>
        </w:rPr>
      </w:pPr>
    </w:p>
    <w:p>
      <w:pPr>
        <w:pStyle w:val="14"/>
        <w:jc w:val="center"/>
        <w:rPr>
          <w:rFonts w:ascii="宋体" w:hAnsi="宋体" w:cs="黑体"/>
          <w:color w:val="000000"/>
          <w:kern w:val="0"/>
          <w:sz w:val="70"/>
          <w:szCs w:val="70"/>
        </w:rPr>
      </w:pPr>
      <w:r>
        <w:rPr>
          <w:rFonts w:hint="eastAsia" w:ascii="宋体" w:hAnsi="宋体" w:eastAsia="宋体"/>
          <w:sz w:val="72"/>
          <w:szCs w:val="72"/>
        </w:rPr>
        <w:t>名词解释</w:t>
      </w:r>
    </w:p>
    <w:p>
      <w:pPr>
        <w:pStyle w:val="14"/>
        <w:ind w:firstLine="700" w:firstLineChars="100"/>
        <w:rPr>
          <w:rFonts w:hint="eastAsia" w:ascii="仿宋_GB2312" w:hAnsi="仿宋_GB2312" w:eastAsia="仿宋_GB2312" w:cs="仿宋_GB2312"/>
          <w:sz w:val="32"/>
          <w:szCs w:val="32"/>
        </w:rPr>
      </w:pPr>
      <w:r>
        <w:rPr>
          <w:rFonts w:ascii="宋体" w:hAnsi="宋体" w:eastAsia="宋体"/>
          <w:sz w:val="70"/>
          <w:szCs w:val="70"/>
        </w:rPr>
        <w:br w:type="page"/>
      </w:r>
      <w:r>
        <w:rPr>
          <w:rFonts w:hint="eastAsia" w:ascii="仿宋_GB2312" w:hAnsi="仿宋_GB2312" w:eastAsia="仿宋_GB2312" w:cs="仿宋_GB2312"/>
          <w:sz w:val="32"/>
          <w:szCs w:val="32"/>
        </w:rPr>
        <w:t>一、财政拨款收入：指省级财政部门当年拨付的资金。</w:t>
      </w:r>
    </w:p>
    <w:p>
      <w:pPr>
        <w:pStyle w:val="1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二、其他收入：指市本级财政部门当年拨付的资金。 </w:t>
      </w:r>
    </w:p>
    <w:p>
      <w:pPr>
        <w:pStyle w:val="1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三、年初结转和结余：指以前年度尚未完成、结转到本年按有关规定继续使用的资金。 </w:t>
      </w:r>
    </w:p>
    <w:p>
      <w:pPr>
        <w:pStyle w:val="1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四、一般公共安全（类）检察（款）行政运行（项）：指检察院行政单位的基本支出。 </w:t>
      </w:r>
    </w:p>
    <w:p>
      <w:pPr>
        <w:pStyle w:val="1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五、一般公共安全（类）检察（款）一般行政管理事务（项）：指检察院行政单位未单独设置项级科目的其他项目支出。 </w:t>
      </w:r>
    </w:p>
    <w:p>
      <w:pPr>
        <w:pStyle w:val="1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住房保障（类）住房改革（款）住房公积金（项）：指按照《住房公积金管理条例》的规定，由单位及其在职职工缴存的长期住房储金。</w:t>
      </w:r>
    </w:p>
    <w:p>
      <w:pPr>
        <w:pStyle w:val="1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七、年末结转和结余：指本年度或以前年度预算安排、因客观条件发生变化无法按原计划实施，需延迟到以后年度按有关规定继续使用的资金。</w:t>
      </w:r>
    </w:p>
    <w:p>
      <w:pPr>
        <w:pStyle w:val="1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八、基本支出：指为保障机构正常运转、完成日常工作任务而发生的人员支出和公用支出。</w:t>
      </w:r>
    </w:p>
    <w:p>
      <w:pPr>
        <w:pStyle w:val="1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三公”经费：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pStyle w:val="1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十一、项目支出：指在基本支出之外为完成特定行政任务和事业发展目标所发生的支出。</w:t>
      </w:r>
    </w:p>
    <w:p>
      <w:pPr>
        <w:pStyle w:val="14"/>
        <w:jc w:val="center"/>
        <w:rPr>
          <w:rFonts w:hint="eastAsia" w:ascii="仿宋_GB2312" w:hAnsi="仿宋_GB2312" w:eastAsia="仿宋_GB2312" w:cs="仿宋_GB2312"/>
          <w:sz w:val="32"/>
          <w:szCs w:val="32"/>
        </w:rPr>
      </w:pPr>
    </w:p>
    <w:p>
      <w:pPr>
        <w:pStyle w:val="14"/>
        <w:jc w:val="center"/>
        <w:rPr>
          <w:rFonts w:hint="eastAsia" w:ascii="仿宋_GB2312" w:hAnsi="仿宋_GB2312" w:eastAsia="仿宋_GB2312" w:cs="仿宋_GB2312"/>
          <w:sz w:val="32"/>
          <w:szCs w:val="32"/>
        </w:rPr>
      </w:pPr>
    </w:p>
    <w:p>
      <w:pPr>
        <w:pStyle w:val="14"/>
        <w:jc w:val="center"/>
        <w:rPr>
          <w:sz w:val="72"/>
          <w:szCs w:val="72"/>
        </w:rPr>
      </w:pPr>
    </w:p>
    <w:p>
      <w:pPr>
        <w:pStyle w:val="14"/>
        <w:rPr>
          <w:sz w:val="72"/>
          <w:szCs w:val="72"/>
        </w:rPr>
      </w:pPr>
    </w:p>
    <w:p/>
    <w:p>
      <w:pPr>
        <w:pStyle w:val="2"/>
      </w:pPr>
    </w:p>
    <w:p/>
    <w:p>
      <w:pPr>
        <w:pStyle w:val="2"/>
      </w:pPr>
    </w:p>
    <w:p/>
    <w:p>
      <w:pPr>
        <w:pStyle w:val="2"/>
      </w:pPr>
    </w:p>
    <w:p/>
    <w:p>
      <w:pPr>
        <w:pStyle w:val="2"/>
      </w:pPr>
    </w:p>
    <w:p/>
    <w:p>
      <w:pPr>
        <w:pStyle w:val="2"/>
      </w:pPr>
    </w:p>
    <w:p>
      <w:pPr>
        <w:numPr>
          <w:ilvl w:val="0"/>
          <w:numId w:val="3"/>
        </w:numPr>
        <w:jc w:val="center"/>
        <w:rPr>
          <w:rFonts w:hint="eastAsia" w:ascii="宋体" w:hAnsi="宋体" w:eastAsia="宋体" w:cs="黑体"/>
          <w:color w:val="000000"/>
          <w:kern w:val="0"/>
          <w:sz w:val="72"/>
          <w:szCs w:val="72"/>
          <w:lang w:val="en-US" w:eastAsia="zh-CN" w:bidi="ar-SA"/>
        </w:rPr>
      </w:pPr>
      <w:r>
        <w:rPr>
          <w:rFonts w:hint="eastAsia" w:ascii="宋体" w:hAnsi="宋体" w:eastAsia="宋体" w:cs="黑体"/>
          <w:color w:val="000000"/>
          <w:kern w:val="0"/>
          <w:sz w:val="72"/>
          <w:szCs w:val="72"/>
          <w:lang w:val="en-US" w:eastAsia="zh-CN" w:bidi="ar-SA"/>
        </w:rPr>
        <w:t>附件</w:t>
      </w:r>
      <w:bookmarkStart w:id="0" w:name="_Toc5800"/>
    </w:p>
    <w:p>
      <w:pPr>
        <w:pStyle w:val="2"/>
        <w:numPr>
          <w:ilvl w:val="0"/>
          <w:numId w:val="0"/>
        </w:numPr>
        <w:ind w:leftChars="400"/>
        <w:rPr>
          <w:rFonts w:hint="eastAsia"/>
        </w:rPr>
      </w:pPr>
    </w:p>
    <w:bookmarkEnd w:id="0"/>
    <w:p>
      <w:pPr>
        <w:ind w:firstLine="63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2021年度部门整体支出绩效评价报告</w:t>
      </w:r>
    </w:p>
    <w:p>
      <w:pPr>
        <w:ind w:firstLine="630"/>
        <w:rPr>
          <w:rFonts w:hint="default" w:ascii="仿宋_GB2312" w:hAnsi="宋体" w:eastAsia="仿宋_GB2312"/>
          <w:sz w:val="30"/>
          <w:szCs w:val="30"/>
          <w:lang w:val="en-US" w:eastAsia="zh-CN"/>
        </w:rPr>
      </w:pPr>
      <w:r>
        <w:rPr>
          <w:rFonts w:hint="eastAsia" w:ascii="仿宋_GB2312" w:hAnsi="宋体" w:eastAsia="仿宋_GB2312"/>
          <w:sz w:val="30"/>
          <w:szCs w:val="30"/>
          <w:lang w:val="en-US" w:eastAsia="zh-CN"/>
        </w:rPr>
        <w:t>（https://www.hn.jcy.gov.cn/xwfb/czxx/qtczxxgk/202206/1537346769879302144.html）</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23</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63E8D"/>
    <w:multiLevelType w:val="singleLevel"/>
    <w:tmpl w:val="BDF63E8D"/>
    <w:lvl w:ilvl="0" w:tentative="0">
      <w:start w:val="5"/>
      <w:numFmt w:val="chineseCounting"/>
      <w:suff w:val="space"/>
      <w:lvlText w:val="第%1部分"/>
      <w:lvlJc w:val="left"/>
      <w:rPr>
        <w:rFonts w:hint="eastAsia"/>
      </w:rPr>
    </w:lvl>
  </w:abstractNum>
  <w:abstractNum w:abstractNumId="1">
    <w:nsid w:val="CFBE4ABD"/>
    <w:multiLevelType w:val="singleLevel"/>
    <w:tmpl w:val="CFBE4ABD"/>
    <w:lvl w:ilvl="0" w:tentative="0">
      <w:start w:val="7"/>
      <w:numFmt w:val="decimal"/>
      <w:suff w:val="nothing"/>
      <w:lvlText w:val="%1、"/>
      <w:lvlJc w:val="left"/>
    </w:lvl>
  </w:abstractNum>
  <w:abstractNum w:abstractNumId="2">
    <w:nsid w:val="4BB637D9"/>
    <w:multiLevelType w:val="multilevel"/>
    <w:tmpl w:val="4BB637D9"/>
    <w:lvl w:ilvl="0" w:tentative="0">
      <w:start w:val="1"/>
      <w:numFmt w:val="japaneseCounting"/>
      <w:lvlText w:val="%1、"/>
      <w:lvlJc w:val="left"/>
      <w:pPr>
        <w:tabs>
          <w:tab w:val="left" w:pos="1520"/>
        </w:tabs>
        <w:ind w:left="1520" w:hanging="720"/>
      </w:pPr>
      <w:rPr>
        <w:rFonts w:hint="default"/>
      </w:rPr>
    </w:lvl>
    <w:lvl w:ilvl="1" w:tentative="0">
      <w:start w:val="1"/>
      <w:numFmt w:val="lowerLetter"/>
      <w:lvlText w:val="%2)"/>
      <w:lvlJc w:val="left"/>
      <w:pPr>
        <w:tabs>
          <w:tab w:val="left" w:pos="1640"/>
        </w:tabs>
        <w:ind w:left="1640" w:hanging="420"/>
      </w:pPr>
    </w:lvl>
    <w:lvl w:ilvl="2" w:tentative="0">
      <w:start w:val="1"/>
      <w:numFmt w:val="lowerRoman"/>
      <w:lvlText w:val="%3."/>
      <w:lvlJc w:val="right"/>
      <w:pPr>
        <w:tabs>
          <w:tab w:val="left" w:pos="2060"/>
        </w:tabs>
        <w:ind w:left="2060" w:hanging="420"/>
      </w:pPr>
    </w:lvl>
    <w:lvl w:ilvl="3" w:tentative="0">
      <w:start w:val="1"/>
      <w:numFmt w:val="decimal"/>
      <w:lvlText w:val="%4."/>
      <w:lvlJc w:val="left"/>
      <w:pPr>
        <w:tabs>
          <w:tab w:val="left" w:pos="2480"/>
        </w:tabs>
        <w:ind w:left="2480" w:hanging="420"/>
      </w:pPr>
    </w:lvl>
    <w:lvl w:ilvl="4" w:tentative="0">
      <w:start w:val="1"/>
      <w:numFmt w:val="lowerLetter"/>
      <w:lvlText w:val="%5)"/>
      <w:lvlJc w:val="left"/>
      <w:pPr>
        <w:tabs>
          <w:tab w:val="left" w:pos="2900"/>
        </w:tabs>
        <w:ind w:left="2900" w:hanging="420"/>
      </w:pPr>
    </w:lvl>
    <w:lvl w:ilvl="5" w:tentative="0">
      <w:start w:val="1"/>
      <w:numFmt w:val="lowerRoman"/>
      <w:lvlText w:val="%6."/>
      <w:lvlJc w:val="right"/>
      <w:pPr>
        <w:tabs>
          <w:tab w:val="left" w:pos="3320"/>
        </w:tabs>
        <w:ind w:left="3320" w:hanging="420"/>
      </w:pPr>
    </w:lvl>
    <w:lvl w:ilvl="6" w:tentative="0">
      <w:start w:val="1"/>
      <w:numFmt w:val="decimal"/>
      <w:lvlText w:val="%7."/>
      <w:lvlJc w:val="left"/>
      <w:pPr>
        <w:tabs>
          <w:tab w:val="left" w:pos="3740"/>
        </w:tabs>
        <w:ind w:left="3740" w:hanging="420"/>
      </w:pPr>
    </w:lvl>
    <w:lvl w:ilvl="7" w:tentative="0">
      <w:start w:val="1"/>
      <w:numFmt w:val="lowerLetter"/>
      <w:lvlText w:val="%8)"/>
      <w:lvlJc w:val="left"/>
      <w:pPr>
        <w:tabs>
          <w:tab w:val="left" w:pos="4160"/>
        </w:tabs>
        <w:ind w:left="4160" w:hanging="420"/>
      </w:pPr>
    </w:lvl>
    <w:lvl w:ilvl="8" w:tentative="0">
      <w:start w:val="1"/>
      <w:numFmt w:val="lowerRoman"/>
      <w:lvlText w:val="%9."/>
      <w:lvlJc w:val="right"/>
      <w:pPr>
        <w:tabs>
          <w:tab w:val="left" w:pos="4580"/>
        </w:tabs>
        <w:ind w:left="45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ViZjQ1ZDFmMjc5MmQwZGFiN2MyMDhmNmVhNjIzZjkifQ=="/>
  </w:docVars>
  <w:rsids>
    <w:rsidRoot w:val="007346E3"/>
    <w:rsid w:val="00066819"/>
    <w:rsid w:val="001A3E1D"/>
    <w:rsid w:val="0044622E"/>
    <w:rsid w:val="00606B92"/>
    <w:rsid w:val="007346E3"/>
    <w:rsid w:val="008B67B4"/>
    <w:rsid w:val="008F1E21"/>
    <w:rsid w:val="009D46CC"/>
    <w:rsid w:val="00F20E3F"/>
    <w:rsid w:val="00F950F7"/>
    <w:rsid w:val="00FD4882"/>
    <w:rsid w:val="00FE3891"/>
    <w:rsid w:val="1F77CD3D"/>
    <w:rsid w:val="4F6E3BDD"/>
    <w:rsid w:val="594D0D65"/>
    <w:rsid w:val="6F869453"/>
    <w:rsid w:val="75DF524A"/>
    <w:rsid w:val="7D9F9BA4"/>
    <w:rsid w:val="B56E55F6"/>
    <w:rsid w:val="D7ED6E36"/>
    <w:rsid w:val="DFBE28D0"/>
    <w:rsid w:val="E6BF550C"/>
    <w:rsid w:val="ED2FA665"/>
    <w:rsid w:val="FBBB86DA"/>
    <w:rsid w:val="FD77B223"/>
    <w:rsid w:val="FEB6A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200" w:firstLine="420" w:firstLineChars="200"/>
    </w:pPr>
    <w:rPr>
      <w:rFonts w:ascii="Times New Roman" w:hAnsi="Verdana" w:eastAsia="仿宋_GB2312" w:cs="Times New Roman"/>
      <w:lang w:eastAsia="en-US"/>
    </w:rPr>
  </w:style>
  <w:style w:type="paragraph" w:styleId="3">
    <w:name w:val="Body Text Indent"/>
    <w:basedOn w:val="1"/>
    <w:qFormat/>
    <w:uiPriority w:val="0"/>
    <w:pPr>
      <w:spacing w:after="120"/>
      <w:ind w:left="420" w:leftChars="2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rPr>
  </w:style>
  <w:style w:type="character" w:styleId="11">
    <w:name w:val="page number"/>
    <w:basedOn w:val="9"/>
    <w:qFormat/>
    <w:uiPriority w:val="0"/>
  </w:style>
  <w:style w:type="character" w:customStyle="1" w:styleId="12">
    <w:name w:val="页眉 Char"/>
    <w:basedOn w:val="9"/>
    <w:link w:val="6"/>
    <w:qFormat/>
    <w:uiPriority w:val="0"/>
    <w:rPr>
      <w:sz w:val="18"/>
      <w:szCs w:val="18"/>
    </w:rPr>
  </w:style>
  <w:style w:type="character" w:customStyle="1" w:styleId="13">
    <w:name w:val="页脚 Char"/>
    <w:basedOn w:val="9"/>
    <w:link w:val="5"/>
    <w:qFormat/>
    <w:uiPriority w:val="0"/>
    <w:rPr>
      <w:sz w:val="18"/>
      <w:szCs w:val="18"/>
    </w:rPr>
  </w:style>
  <w:style w:type="paragraph" w:customStyle="1" w:styleId="14">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15">
    <w:name w:val="列出段落1"/>
    <w:basedOn w:val="1"/>
    <w:qFormat/>
    <w:uiPriority w:val="0"/>
    <w:pPr>
      <w:ind w:firstLine="420" w:firstLineChars="200"/>
    </w:pPr>
  </w:style>
  <w:style w:type="character" w:customStyle="1" w:styleId="16">
    <w:name w:val="批注框文本 Char"/>
    <w:basedOn w:val="9"/>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971</Words>
  <Characters>5541</Characters>
  <Lines>46</Lines>
  <Paragraphs>12</Paragraphs>
  <TotalTime>32</TotalTime>
  <ScaleCrop>false</ScaleCrop>
  <LinksUpToDate>false</LinksUpToDate>
  <CharactersWithSpaces>6500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2022-09-08T06:34:00Z</dcterms:created>
  <dc:creator>User</dc:creator>
  <cp:lastModifiedBy>kylin</cp:lastModifiedBy>
  <cp:lastPrinted>2022-09-08T08:35:00Z</cp:lastPrinted>
  <dcterms:modified xsi:type="dcterms:W3CDTF">2023-09-20T16:53:13Z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6492BA241221487BA96577C4730DF0AC_12</vt:lpwstr>
  </property>
</Properties>
</file>