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center"/>
        <w:rPr>
          <w:rFonts w:ascii="宋体"/>
          <w:b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2022</w:t>
      </w:r>
      <w:r>
        <w:rPr>
          <w:rFonts w:hint="eastAsia" w:eastAsia="方正小标宋_GBK"/>
          <w:bCs/>
          <w:kern w:val="0"/>
          <w:sz w:val="44"/>
          <w:szCs w:val="44"/>
        </w:rPr>
        <w:t>年双峰县人民检察院部门预算</w:t>
      </w:r>
    </w:p>
    <w:p>
      <w:pPr>
        <w:widowControl/>
        <w:spacing w:line="600" w:lineRule="exact"/>
        <w:jc w:val="center"/>
        <w:rPr>
          <w:rFonts w:ascii="楷体_GB2312"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目</w:t>
      </w:r>
      <w:r>
        <w:rPr>
          <w:rFonts w:eastAsia="黑体"/>
          <w:bCs/>
          <w:kern w:val="0"/>
          <w:sz w:val="32"/>
          <w:szCs w:val="32"/>
        </w:rPr>
        <w:t xml:space="preserve"> </w:t>
      </w:r>
      <w:r>
        <w:rPr>
          <w:rFonts w:hint="eastAsia" w:eastAsia="黑体"/>
          <w:bCs/>
          <w:kern w:val="0"/>
          <w:sz w:val="32"/>
          <w:szCs w:val="32"/>
        </w:rPr>
        <w:t>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2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第一部分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022</w:t>
      </w:r>
      <w:r>
        <w:rPr>
          <w:rFonts w:hint="eastAsia" w:eastAsia="仿宋_GB2312"/>
          <w:b/>
          <w:bCs/>
          <w:kern w:val="0"/>
          <w:sz w:val="32"/>
          <w:szCs w:val="32"/>
        </w:rPr>
        <w:t>年部门预算说明</w:t>
      </w:r>
    </w:p>
    <w:p>
      <w:pPr>
        <w:widowControl/>
        <w:spacing w:line="600" w:lineRule="exact"/>
        <w:ind w:firstLine="642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第二部分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2022</w:t>
      </w:r>
      <w:r>
        <w:rPr>
          <w:rFonts w:hint="eastAsia" w:eastAsia="仿宋_GB2312"/>
          <w:b/>
          <w:bCs/>
          <w:kern w:val="0"/>
          <w:sz w:val="32"/>
          <w:szCs w:val="32"/>
        </w:rPr>
        <w:t>年部门预算表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公用经费（商品和服务支出）（按政府预算经济分类）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公用经费（商品和服务支出）（按部门预算经济分类）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hint="eastAsia"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hint="eastAsia"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hint="eastAsia"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hint="eastAsia"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hint="eastAsia" w:eastAsia="仿宋_GB2312"/>
          <w:sz w:val="32"/>
          <w:szCs w:val="32"/>
        </w:rPr>
        <w:t>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</w:t>
      </w:r>
      <w:r>
        <w:rPr>
          <w:rFonts w:hint="eastAsia" w:eastAsia="仿宋_GB2312"/>
          <w:sz w:val="32"/>
          <w:szCs w:val="32"/>
        </w:rPr>
        <w:t>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</w:t>
      </w:r>
      <w:r>
        <w:rPr>
          <w:rFonts w:hint="eastAsia"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宋体"/>
          <w:b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宋体"/>
          <w:b/>
          <w:sz w:val="44"/>
          <w:szCs w:val="44"/>
        </w:rPr>
      </w:pPr>
    </w:p>
    <w:p>
      <w:pPr>
        <w:widowControl/>
        <w:spacing w:line="600" w:lineRule="exact"/>
        <w:rPr>
          <w:rFonts w:ascii="宋体"/>
          <w:b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2022</w:t>
      </w:r>
      <w:r>
        <w:rPr>
          <w:rFonts w:hint="eastAsia" w:eastAsia="方正小标宋_GBK"/>
          <w:bCs/>
          <w:kern w:val="0"/>
          <w:sz w:val="36"/>
          <w:szCs w:val="36"/>
        </w:rPr>
        <w:t>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一、部门基本概况</w:t>
      </w:r>
    </w:p>
    <w:p>
      <w:pPr>
        <w:ind w:firstLine="629" w:firstLineChars="196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（一）职能职责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双峰县人民检察院是国家的法律监督机关，接受上级人民检察院的领导，对县人民代表大会及其常务委员会负责并报告工作。其主要职责是：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深入贯彻习近平新时代中国特色社会主义思想，深入贯彻党的路线方针政策和决策部署，坚持党对检察工作的绝对领导，坚决维护习近平总书记的核心地位，坚决维护党中央权威和集中统一领导。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贯彻落实上级人民检察院的各项工作部署，研究制定检察工作规划，部署检察工作任务。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依照法律规定对由县人民检察院直接受理的刑事案件行使侦查权。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对刑事案件依法审査批准逮捕、决定逮捕、提起公诉。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负责应由县人民检察院承办的刑事、民事、行政诉讼活动及刑事、民事、行政判决和裁定等生效法律文书执行的法律监督工作。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负责应由县人民检察院承办的提起公益诉讼工作。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负责应由县人民检察院承办的对看守所、社区矫正机构等执法活动的法律监督工作。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受理向县人民检察院的控告申诉。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9.</w:t>
      </w:r>
      <w:r>
        <w:rPr>
          <w:rFonts w:hint="eastAsia" w:ascii="仿宋" w:hAnsi="仿宋" w:eastAsia="仿宋"/>
          <w:sz w:val="32"/>
          <w:szCs w:val="32"/>
        </w:rPr>
        <w:t>负责检察机关的理论研究工作。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10.</w:t>
      </w:r>
      <w:r>
        <w:rPr>
          <w:rFonts w:hint="eastAsia" w:ascii="仿宋" w:hAnsi="仿宋" w:eastAsia="仿宋"/>
          <w:sz w:val="32"/>
          <w:szCs w:val="32"/>
        </w:rPr>
        <w:t>负责检察机关队伍建设和思想政治工作。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11.</w:t>
      </w:r>
      <w:r>
        <w:rPr>
          <w:rFonts w:hint="eastAsia" w:ascii="仿宋" w:hAnsi="仿宋" w:eastAsia="仿宋"/>
          <w:sz w:val="32"/>
          <w:szCs w:val="32"/>
        </w:rPr>
        <w:t>负责检务督察工作。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12.</w:t>
      </w:r>
      <w:r>
        <w:rPr>
          <w:rFonts w:hint="eastAsia" w:ascii="仿宋" w:hAnsi="仿宋" w:eastAsia="仿宋"/>
          <w:sz w:val="32"/>
          <w:szCs w:val="32"/>
        </w:rPr>
        <w:t>负责检察机关财物装备和检察技术信息工作。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13.</w:t>
      </w:r>
      <w:r>
        <w:rPr>
          <w:rFonts w:hint="eastAsia" w:ascii="仿宋" w:hAnsi="仿宋" w:eastAsia="仿宋"/>
          <w:sz w:val="32"/>
          <w:szCs w:val="32"/>
        </w:rPr>
        <w:t>负责其他应当由县人民检察院承办的事项。</w:t>
      </w:r>
    </w:p>
    <w:p>
      <w:pPr>
        <w:ind w:firstLine="629" w:firstLineChars="196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双峰县人民检察院内设办公室、第一检察部、第二检察部、第三检察部、第四检察部、第五检察部、第六检察部、政治部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司法警察大队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，共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个内设部门。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双峰县人民检察院部门只有本级，没有其他预算单位，因此本部门预算仅含本级预算。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单位收支总体情况</w:t>
      </w:r>
    </w:p>
    <w:p>
      <w:pPr>
        <w:widowControl/>
        <w:spacing w:line="6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（一）收入预算：包括一般公共预算、政府性基金、国有资本经营预算等财政拨款收入，以及经营收入、事业收入等单位资金。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年本部门收入预算</w:t>
      </w:r>
      <w:r>
        <w:rPr>
          <w:rFonts w:ascii="仿宋" w:hAnsi="仿宋" w:eastAsia="仿宋"/>
          <w:sz w:val="32"/>
          <w:szCs w:val="32"/>
        </w:rPr>
        <w:t>1667</w:t>
      </w:r>
      <w:r>
        <w:rPr>
          <w:rFonts w:hint="eastAsia" w:ascii="仿宋" w:hAnsi="仿宋" w:eastAsia="仿宋"/>
          <w:sz w:val="32"/>
          <w:szCs w:val="32"/>
        </w:rPr>
        <w:t>万元，其中，一一般公共预算拨款收入</w:t>
      </w:r>
      <w:r>
        <w:rPr>
          <w:rFonts w:ascii="仿宋" w:hAnsi="仿宋" w:eastAsia="仿宋"/>
          <w:sz w:val="32"/>
          <w:szCs w:val="32"/>
        </w:rPr>
        <w:t>1183.72</w:t>
      </w:r>
      <w:r>
        <w:rPr>
          <w:rFonts w:hint="eastAsia" w:ascii="仿宋" w:hAnsi="仿宋" w:eastAsia="仿宋"/>
          <w:sz w:val="32"/>
          <w:szCs w:val="32"/>
        </w:rPr>
        <w:t>万元，上级财政补助收入</w:t>
      </w:r>
      <w:r>
        <w:rPr>
          <w:rFonts w:ascii="仿宋" w:hAnsi="仿宋" w:eastAsia="仿宋"/>
          <w:sz w:val="32"/>
          <w:szCs w:val="32"/>
        </w:rPr>
        <w:t>371.28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政府性基金预算拨款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万元，国有资本经营预算拨款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万元，纳入专户管理的非税收入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万元，上年结余结转</w:t>
      </w:r>
      <w:r>
        <w:rPr>
          <w:rFonts w:ascii="仿宋" w:hAnsi="仿宋" w:eastAsia="仿宋"/>
          <w:sz w:val="32"/>
          <w:szCs w:val="32"/>
        </w:rPr>
        <w:t>112</w:t>
      </w:r>
      <w:r>
        <w:rPr>
          <w:rFonts w:hint="eastAsia" w:ascii="仿宋" w:hAnsi="仿宋" w:eastAsia="仿宋"/>
          <w:sz w:val="32"/>
          <w:szCs w:val="32"/>
        </w:rPr>
        <w:t>万元。收入较去年增加</w:t>
      </w:r>
      <w:r>
        <w:rPr>
          <w:rFonts w:ascii="仿宋" w:hAnsi="仿宋" w:eastAsia="仿宋"/>
          <w:sz w:val="32"/>
          <w:szCs w:val="32"/>
        </w:rPr>
        <w:t>251.81</w:t>
      </w:r>
      <w:r>
        <w:rPr>
          <w:rFonts w:hint="eastAsia" w:ascii="仿宋" w:hAnsi="仿宋" w:eastAsia="仿宋"/>
          <w:sz w:val="32"/>
          <w:szCs w:val="32"/>
        </w:rPr>
        <w:t>万元，主要是因为</w:t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年度一般公共预算拨款收入增加</w:t>
      </w:r>
      <w:r>
        <w:rPr>
          <w:rFonts w:ascii="仿宋" w:hAnsi="仿宋" w:eastAsia="仿宋"/>
          <w:sz w:val="32"/>
          <w:szCs w:val="32"/>
        </w:rPr>
        <w:t>193.81</w:t>
      </w:r>
      <w:r>
        <w:rPr>
          <w:rFonts w:hint="eastAsia" w:ascii="仿宋" w:hAnsi="仿宋" w:eastAsia="仿宋"/>
          <w:sz w:val="32"/>
          <w:szCs w:val="32"/>
        </w:rPr>
        <w:t>万元，上级财政补助收入减少</w:t>
      </w:r>
      <w:r>
        <w:rPr>
          <w:rFonts w:ascii="仿宋" w:hAnsi="仿宋" w:eastAsia="仿宋"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>万元，上年结余结转资金增加</w:t>
      </w:r>
      <w:r>
        <w:rPr>
          <w:rFonts w:ascii="仿宋" w:hAnsi="仿宋" w:eastAsia="仿宋"/>
          <w:sz w:val="32"/>
          <w:szCs w:val="32"/>
        </w:rPr>
        <w:t>71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widowControl/>
        <w:spacing w:line="60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（二）支出预算：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年本部门支出预算</w:t>
      </w:r>
      <w:r>
        <w:rPr>
          <w:rFonts w:ascii="仿宋" w:hAnsi="仿宋" w:eastAsia="仿宋"/>
          <w:sz w:val="32"/>
          <w:szCs w:val="32"/>
        </w:rPr>
        <w:t>1667</w:t>
      </w:r>
      <w:r>
        <w:rPr>
          <w:rFonts w:hint="eastAsia" w:ascii="仿宋" w:hAnsi="仿宋" w:eastAsia="仿宋"/>
          <w:sz w:val="32"/>
          <w:szCs w:val="32"/>
        </w:rPr>
        <w:t>万元，其中，公共安全</w:t>
      </w:r>
      <w:r>
        <w:rPr>
          <w:rFonts w:ascii="仿宋" w:hAnsi="仿宋" w:eastAsia="仿宋"/>
          <w:sz w:val="32"/>
          <w:szCs w:val="32"/>
        </w:rPr>
        <w:t>1427.77</w:t>
      </w:r>
      <w:r>
        <w:rPr>
          <w:rFonts w:hint="eastAsia" w:ascii="仿宋" w:hAnsi="仿宋" w:eastAsia="仿宋"/>
          <w:sz w:val="32"/>
          <w:szCs w:val="32"/>
        </w:rPr>
        <w:t>万元，教育</w:t>
      </w:r>
      <w:r>
        <w:rPr>
          <w:rFonts w:ascii="仿宋" w:hAnsi="仿宋" w:eastAsia="仿宋"/>
          <w:sz w:val="32"/>
          <w:szCs w:val="32"/>
        </w:rPr>
        <w:t>16.26</w:t>
      </w:r>
      <w:r>
        <w:rPr>
          <w:rFonts w:hint="eastAsia" w:ascii="仿宋" w:hAnsi="仿宋" w:eastAsia="仿宋"/>
          <w:sz w:val="32"/>
          <w:szCs w:val="32"/>
        </w:rPr>
        <w:t>万元，社会保障和就业</w:t>
      </w:r>
      <w:r>
        <w:rPr>
          <w:rFonts w:ascii="仿宋" w:hAnsi="仿宋" w:eastAsia="仿宋"/>
          <w:sz w:val="32"/>
          <w:szCs w:val="32"/>
        </w:rPr>
        <w:t>80.81</w:t>
      </w:r>
      <w:r>
        <w:rPr>
          <w:rFonts w:hint="eastAsia" w:ascii="仿宋" w:hAnsi="仿宋" w:eastAsia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，卫生健康</w:t>
      </w:r>
      <w:r>
        <w:rPr>
          <w:rFonts w:ascii="仿宋" w:hAnsi="仿宋" w:eastAsia="仿宋"/>
          <w:sz w:val="32"/>
          <w:szCs w:val="32"/>
        </w:rPr>
        <w:t>54.18</w:t>
      </w:r>
      <w:r>
        <w:rPr>
          <w:rFonts w:hint="eastAsia" w:ascii="仿宋" w:hAnsi="仿宋" w:eastAsia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，住房保障</w:t>
      </w:r>
      <w:r>
        <w:rPr>
          <w:rFonts w:ascii="仿宋" w:hAnsi="仿宋" w:eastAsia="仿宋"/>
          <w:sz w:val="32"/>
          <w:szCs w:val="32"/>
        </w:rPr>
        <w:t>87.98</w:t>
      </w:r>
      <w:r>
        <w:rPr>
          <w:rFonts w:hint="eastAsia" w:ascii="仿宋" w:hAnsi="仿宋" w:eastAsia="仿宋"/>
          <w:sz w:val="32"/>
          <w:szCs w:val="32"/>
        </w:rPr>
        <w:t>万元。支出较去年增加</w:t>
      </w:r>
      <w:r>
        <w:rPr>
          <w:rFonts w:ascii="仿宋" w:hAnsi="仿宋" w:eastAsia="仿宋"/>
          <w:sz w:val="32"/>
          <w:szCs w:val="32"/>
        </w:rPr>
        <w:t>251.81</w:t>
      </w:r>
      <w:r>
        <w:rPr>
          <w:rFonts w:hint="eastAsia" w:ascii="仿宋" w:hAnsi="仿宋" w:eastAsia="仿宋"/>
          <w:sz w:val="32"/>
          <w:szCs w:val="32"/>
        </w:rPr>
        <w:t>万元，主要是因为公共安全支出增加</w:t>
      </w:r>
      <w:r>
        <w:rPr>
          <w:rFonts w:ascii="仿宋" w:hAnsi="仿宋" w:eastAsia="仿宋"/>
          <w:sz w:val="32"/>
          <w:szCs w:val="32"/>
        </w:rPr>
        <w:t>208.69</w:t>
      </w:r>
      <w:r>
        <w:rPr>
          <w:rFonts w:hint="eastAsia" w:ascii="仿宋" w:hAnsi="仿宋" w:eastAsia="仿宋"/>
          <w:sz w:val="32"/>
          <w:szCs w:val="32"/>
        </w:rPr>
        <w:t>万元，教育支出增加</w:t>
      </w:r>
      <w:r>
        <w:rPr>
          <w:rFonts w:ascii="仿宋" w:hAnsi="仿宋" w:eastAsia="仿宋"/>
          <w:sz w:val="32"/>
          <w:szCs w:val="32"/>
        </w:rPr>
        <w:t>16.26</w:t>
      </w:r>
      <w:r>
        <w:rPr>
          <w:rFonts w:hint="eastAsia" w:ascii="仿宋" w:hAnsi="仿宋" w:eastAsia="仿宋"/>
          <w:sz w:val="32"/>
          <w:szCs w:val="32"/>
        </w:rPr>
        <w:t>万元，社会保障和就业支出增加</w:t>
      </w:r>
      <w:r>
        <w:rPr>
          <w:rFonts w:ascii="仿宋" w:hAnsi="仿宋" w:eastAsia="仿宋"/>
          <w:sz w:val="32"/>
          <w:szCs w:val="32"/>
        </w:rPr>
        <w:t>0.79</w:t>
      </w:r>
      <w:r>
        <w:rPr>
          <w:rFonts w:hint="eastAsia" w:ascii="仿宋" w:hAnsi="仿宋" w:eastAsia="仿宋"/>
          <w:sz w:val="32"/>
          <w:szCs w:val="32"/>
        </w:rPr>
        <w:t>万元，卫生健康支出增加</w:t>
      </w:r>
      <w:r>
        <w:rPr>
          <w:rFonts w:ascii="仿宋" w:hAnsi="仿宋" w:eastAsia="仿宋"/>
          <w:sz w:val="32"/>
          <w:szCs w:val="32"/>
        </w:rPr>
        <w:t>18.59</w:t>
      </w:r>
      <w:r>
        <w:rPr>
          <w:rFonts w:hint="eastAsia" w:ascii="仿宋" w:hAnsi="仿宋" w:eastAsia="仿宋"/>
          <w:sz w:val="32"/>
          <w:szCs w:val="32"/>
        </w:rPr>
        <w:t>万元，住房保障支出增加</w:t>
      </w:r>
      <w:r>
        <w:rPr>
          <w:rFonts w:ascii="仿宋" w:hAnsi="仿宋" w:eastAsia="仿宋"/>
          <w:sz w:val="32"/>
          <w:szCs w:val="32"/>
        </w:rPr>
        <w:t>7.48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年本部门一般公共预算拨款支出预算</w:t>
      </w:r>
      <w:r>
        <w:rPr>
          <w:rFonts w:ascii="仿宋" w:hAnsi="仿宋" w:eastAsia="仿宋"/>
          <w:sz w:val="32"/>
          <w:szCs w:val="32"/>
        </w:rPr>
        <w:t>1667</w:t>
      </w:r>
      <w:r>
        <w:rPr>
          <w:rFonts w:hint="eastAsia" w:ascii="仿宋" w:hAnsi="仿宋" w:eastAsia="仿宋"/>
          <w:sz w:val="32"/>
          <w:szCs w:val="32"/>
        </w:rPr>
        <w:t>万元，其中，公共安全支出</w:t>
      </w:r>
      <w:r>
        <w:rPr>
          <w:rFonts w:ascii="仿宋" w:hAnsi="仿宋" w:eastAsia="仿宋"/>
          <w:sz w:val="32"/>
          <w:szCs w:val="32"/>
        </w:rPr>
        <w:t>1427.77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85.65 %</w:t>
      </w:r>
      <w:r>
        <w:rPr>
          <w:rFonts w:hint="eastAsia" w:ascii="仿宋" w:hAnsi="仿宋" w:eastAsia="仿宋"/>
          <w:sz w:val="32"/>
          <w:szCs w:val="32"/>
        </w:rPr>
        <w:t>；教育支出</w:t>
      </w:r>
      <w:r>
        <w:rPr>
          <w:rFonts w:ascii="仿宋" w:hAnsi="仿宋" w:eastAsia="仿宋"/>
          <w:sz w:val="32"/>
          <w:szCs w:val="32"/>
        </w:rPr>
        <w:t>16.26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0.97%</w:t>
      </w:r>
      <w:r>
        <w:rPr>
          <w:rFonts w:hint="eastAsia" w:ascii="仿宋" w:hAnsi="仿宋" w:eastAsia="仿宋"/>
          <w:sz w:val="32"/>
          <w:szCs w:val="32"/>
        </w:rPr>
        <w:t>；社会保障和就业支出</w:t>
      </w:r>
      <w:r>
        <w:rPr>
          <w:rFonts w:ascii="仿宋" w:hAnsi="仿宋" w:eastAsia="仿宋"/>
          <w:sz w:val="32"/>
          <w:szCs w:val="32"/>
        </w:rPr>
        <w:t>80.81</w:t>
      </w:r>
      <w:r>
        <w:rPr>
          <w:rFonts w:hint="eastAsia" w:ascii="仿宋" w:hAnsi="仿宋" w:eastAsia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，占</w:t>
      </w:r>
      <w:r>
        <w:rPr>
          <w:rFonts w:ascii="仿宋" w:hAnsi="仿宋" w:eastAsia="仿宋"/>
          <w:sz w:val="32"/>
          <w:szCs w:val="32"/>
        </w:rPr>
        <w:t>4.85%</w:t>
      </w:r>
      <w:r>
        <w:rPr>
          <w:rFonts w:hint="eastAsia" w:ascii="仿宋" w:hAnsi="仿宋" w:eastAsia="仿宋"/>
          <w:sz w:val="32"/>
          <w:szCs w:val="32"/>
        </w:rPr>
        <w:t>；卫生健康支出</w:t>
      </w:r>
      <w:r>
        <w:rPr>
          <w:rFonts w:ascii="仿宋" w:hAnsi="仿宋" w:eastAsia="仿宋"/>
          <w:sz w:val="32"/>
          <w:szCs w:val="32"/>
        </w:rPr>
        <w:t>54.18</w:t>
      </w:r>
      <w:r>
        <w:rPr>
          <w:rFonts w:hint="eastAsia" w:ascii="仿宋" w:hAnsi="仿宋" w:eastAsia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，占</w:t>
      </w:r>
      <w:r>
        <w:rPr>
          <w:rFonts w:ascii="仿宋" w:hAnsi="仿宋" w:eastAsia="仿宋"/>
          <w:sz w:val="32"/>
          <w:szCs w:val="32"/>
        </w:rPr>
        <w:t>3.25%</w:t>
      </w:r>
      <w:r>
        <w:rPr>
          <w:rFonts w:hint="eastAsia" w:ascii="仿宋" w:hAnsi="仿宋" w:eastAsia="仿宋"/>
          <w:sz w:val="32"/>
          <w:szCs w:val="32"/>
        </w:rPr>
        <w:t>；住房保障支出</w:t>
      </w:r>
      <w:r>
        <w:rPr>
          <w:rFonts w:ascii="仿宋" w:hAnsi="仿宋" w:eastAsia="仿宋"/>
          <w:sz w:val="32"/>
          <w:szCs w:val="32"/>
        </w:rPr>
        <w:t>87.98</w:t>
      </w:r>
      <w:r>
        <w:rPr>
          <w:rFonts w:hint="eastAsia" w:ascii="仿宋" w:hAnsi="仿宋" w:eastAsia="仿宋"/>
          <w:sz w:val="32"/>
          <w:szCs w:val="32"/>
        </w:rPr>
        <w:t>万元。占</w:t>
      </w:r>
      <w:r>
        <w:rPr>
          <w:rFonts w:ascii="仿宋" w:hAnsi="仿宋" w:eastAsia="仿宋"/>
          <w:sz w:val="32"/>
          <w:szCs w:val="32"/>
        </w:rPr>
        <w:t>5.28%</w:t>
      </w:r>
      <w:r>
        <w:rPr>
          <w:rFonts w:hint="eastAsia" w:ascii="仿宋" w:hAnsi="仿宋" w:eastAsia="仿宋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（一）基本支出：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年本部门基本支出预算数</w:t>
      </w:r>
      <w:r>
        <w:rPr>
          <w:rFonts w:ascii="仿宋" w:hAnsi="仿宋" w:eastAsia="仿宋"/>
          <w:sz w:val="32"/>
          <w:szCs w:val="32"/>
        </w:rPr>
        <w:t>1477.7</w:t>
      </w:r>
      <w:r>
        <w:rPr>
          <w:rFonts w:hint="eastAsia" w:ascii="仿宋" w:hAnsi="仿宋" w:eastAsia="仿宋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（二）项目支出：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年本部门项目支出预算</w:t>
      </w:r>
      <w:r>
        <w:rPr>
          <w:rFonts w:ascii="仿宋" w:hAnsi="仿宋" w:eastAsia="仿宋"/>
          <w:sz w:val="32"/>
          <w:szCs w:val="32"/>
        </w:rPr>
        <w:t>189.3</w:t>
      </w:r>
      <w:r>
        <w:rPr>
          <w:rFonts w:hint="eastAsia" w:ascii="仿宋" w:hAnsi="仿宋" w:eastAsia="仿宋"/>
          <w:sz w:val="32"/>
          <w:szCs w:val="32"/>
        </w:rPr>
        <w:t>万元，主要是部门为完成特定行政工作任务或事业发展目标而发生的支出，包括有关事业发展专项、专项业务费、基本建设支出等，其中按项目管理的商品和服务支出</w:t>
      </w:r>
      <w:r>
        <w:rPr>
          <w:rFonts w:ascii="仿宋" w:hAnsi="仿宋" w:eastAsia="仿宋"/>
          <w:sz w:val="32"/>
          <w:szCs w:val="32"/>
        </w:rPr>
        <w:t>1.5</w:t>
      </w:r>
      <w:r>
        <w:rPr>
          <w:rFonts w:hint="eastAsia" w:ascii="仿宋" w:hAnsi="仿宋" w:eastAsia="仿宋"/>
          <w:sz w:val="32"/>
          <w:szCs w:val="32"/>
        </w:rPr>
        <w:t>万元，主要用于检察干警基金支出；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资本性支出</w:t>
      </w:r>
      <w:r>
        <w:rPr>
          <w:rFonts w:ascii="仿宋" w:hAnsi="仿宋" w:eastAsia="仿宋"/>
          <w:sz w:val="32"/>
          <w:szCs w:val="32"/>
        </w:rPr>
        <w:t>187.8</w:t>
      </w:r>
      <w:r>
        <w:rPr>
          <w:rFonts w:hint="eastAsia" w:ascii="仿宋" w:hAnsi="仿宋" w:eastAsia="仿宋"/>
          <w:sz w:val="32"/>
          <w:szCs w:val="32"/>
        </w:rPr>
        <w:t>万元，主要用于办公设备、公车购置、检委会子系统、办公楼电梯改造、未成年人检察工作区建设等方面。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五、政府性基金预算支出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本部门无政府性基金安排的支出。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六、其他重要事项的情况说明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（一）机关运行经费：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年本部门机关运行经费</w:t>
      </w:r>
      <w:r>
        <w:rPr>
          <w:rFonts w:ascii="仿宋" w:hAnsi="仿宋" w:eastAsia="仿宋"/>
          <w:sz w:val="32"/>
          <w:szCs w:val="32"/>
        </w:rPr>
        <w:t>526.2</w:t>
      </w:r>
      <w:r>
        <w:rPr>
          <w:rFonts w:hint="eastAsia" w:ascii="仿宋" w:hAnsi="仿宋" w:eastAsia="仿宋"/>
          <w:sz w:val="32"/>
          <w:szCs w:val="32"/>
        </w:rPr>
        <w:t>万元，比上年预算增加</w:t>
      </w:r>
      <w:r>
        <w:rPr>
          <w:rFonts w:ascii="仿宋" w:hAnsi="仿宋" w:eastAsia="仿宋"/>
          <w:sz w:val="32"/>
          <w:szCs w:val="32"/>
        </w:rPr>
        <w:t>82.55</w:t>
      </w:r>
      <w:r>
        <w:rPr>
          <w:rFonts w:hint="eastAsia" w:ascii="仿宋" w:hAnsi="仿宋" w:eastAsia="仿宋"/>
          <w:sz w:val="32"/>
          <w:szCs w:val="32"/>
        </w:rPr>
        <w:t>万元，上升</w:t>
      </w:r>
      <w:r>
        <w:rPr>
          <w:rFonts w:ascii="仿宋" w:hAnsi="仿宋" w:eastAsia="仿宋"/>
          <w:sz w:val="32"/>
          <w:szCs w:val="32"/>
        </w:rPr>
        <w:t>18.6%</w:t>
      </w:r>
      <w:r>
        <w:rPr>
          <w:rFonts w:hint="eastAsia" w:ascii="仿宋" w:hAnsi="仿宋" w:eastAsia="仿宋"/>
          <w:sz w:val="32"/>
          <w:szCs w:val="32"/>
        </w:rPr>
        <w:t>，主要原因是中心工作、宣传费用、安可设备耗材费用增加。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经费预算：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年本部门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经费预算数为</w:t>
      </w:r>
      <w:r>
        <w:rPr>
          <w:rFonts w:ascii="仿宋" w:hAnsi="仿宋" w:eastAsia="仿宋"/>
          <w:sz w:val="32"/>
          <w:szCs w:val="32"/>
        </w:rPr>
        <w:t>38.5</w:t>
      </w:r>
      <w:r>
        <w:rPr>
          <w:rFonts w:hint="eastAsia" w:ascii="仿宋" w:hAnsi="仿宋" w:eastAsia="仿宋"/>
          <w:sz w:val="32"/>
          <w:szCs w:val="32"/>
        </w:rPr>
        <w:t>万元，其中，公务接待费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万元，公务用车购置及运行费</w:t>
      </w:r>
      <w:r>
        <w:rPr>
          <w:rFonts w:ascii="仿宋" w:hAnsi="仿宋" w:eastAsia="仿宋"/>
          <w:sz w:val="32"/>
          <w:szCs w:val="32"/>
        </w:rPr>
        <w:t>31.5</w:t>
      </w:r>
      <w:r>
        <w:rPr>
          <w:rFonts w:hint="eastAsia" w:ascii="仿宋" w:hAnsi="仿宋" w:eastAsia="仿宋"/>
          <w:sz w:val="32"/>
          <w:szCs w:val="32"/>
        </w:rPr>
        <w:t>万元（其中，公务用车购置费</w:t>
      </w:r>
      <w:r>
        <w:rPr>
          <w:rFonts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万元，公务用车运行费</w:t>
      </w:r>
      <w:r>
        <w:rPr>
          <w:rFonts w:ascii="仿宋" w:hAnsi="仿宋" w:eastAsia="仿宋"/>
          <w:sz w:val="32"/>
          <w:szCs w:val="32"/>
        </w:rPr>
        <w:t>13.5</w:t>
      </w:r>
      <w:r>
        <w:rPr>
          <w:rFonts w:hint="eastAsia" w:ascii="仿宋" w:hAnsi="仿宋" w:eastAsia="仿宋"/>
          <w:sz w:val="32"/>
          <w:szCs w:val="32"/>
        </w:rPr>
        <w:t>万元），因公出国（境）费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经费预算较</w:t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年持平。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三）一般</w:t>
      </w:r>
      <w:r>
        <w:rPr>
          <w:rFonts w:hint="eastAsia" w:ascii="仿宋" w:hAnsi="仿宋" w:eastAsia="仿宋"/>
          <w:sz w:val="32"/>
          <w:szCs w:val="32"/>
        </w:rPr>
        <w:t>性支出情况：</w:t>
      </w:r>
      <w:r>
        <w:rPr>
          <w:rFonts w:ascii="仿宋" w:hAnsi="仿宋" w:eastAsia="仿宋"/>
          <w:kern w:val="2"/>
          <w:sz w:val="32"/>
          <w:szCs w:val="32"/>
        </w:rPr>
        <w:t>2022</w:t>
      </w:r>
      <w:r>
        <w:rPr>
          <w:rFonts w:hint="eastAsia" w:ascii="仿宋" w:hAnsi="仿宋" w:eastAsia="仿宋"/>
          <w:kern w:val="2"/>
          <w:sz w:val="32"/>
          <w:szCs w:val="32"/>
        </w:rPr>
        <w:t>年本部门会议费预算</w:t>
      </w:r>
      <w:r>
        <w:rPr>
          <w:rFonts w:ascii="仿宋" w:hAnsi="仿宋" w:eastAsia="仿宋"/>
          <w:kern w:val="2"/>
          <w:sz w:val="32"/>
          <w:szCs w:val="32"/>
        </w:rPr>
        <w:t>0</w:t>
      </w:r>
      <w:r>
        <w:rPr>
          <w:rFonts w:hint="eastAsia" w:ascii="仿宋" w:hAnsi="仿宋" w:eastAsia="仿宋"/>
          <w:kern w:val="2"/>
          <w:sz w:val="32"/>
          <w:szCs w:val="32"/>
        </w:rPr>
        <w:t>万元；培训费预算</w:t>
      </w:r>
      <w:r>
        <w:rPr>
          <w:rFonts w:ascii="仿宋" w:hAnsi="仿宋" w:eastAsia="仿宋"/>
          <w:kern w:val="2"/>
          <w:sz w:val="32"/>
          <w:szCs w:val="32"/>
        </w:rPr>
        <w:t>16.26</w:t>
      </w:r>
      <w:r>
        <w:rPr>
          <w:rFonts w:hint="eastAsia" w:ascii="仿宋" w:hAnsi="仿宋" w:eastAsia="仿宋"/>
          <w:kern w:val="2"/>
          <w:sz w:val="32"/>
          <w:szCs w:val="32"/>
        </w:rPr>
        <w:t>万元，拟开展干部素能培训，人数</w:t>
      </w:r>
      <w:r>
        <w:rPr>
          <w:rFonts w:ascii="仿宋" w:hAnsi="仿宋" w:eastAsia="仿宋"/>
          <w:kern w:val="2"/>
          <w:sz w:val="32"/>
          <w:szCs w:val="32"/>
        </w:rPr>
        <w:t>45</w:t>
      </w:r>
      <w:r>
        <w:rPr>
          <w:rFonts w:hint="eastAsia" w:ascii="仿宋" w:hAnsi="仿宋" w:eastAsia="仿宋"/>
          <w:kern w:val="2"/>
          <w:sz w:val="32"/>
          <w:szCs w:val="32"/>
        </w:rPr>
        <w:t>人，内容为业务及政治培训。拟举办节庆、晚会、论坛、赛事活动，经费预算0万元。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（四）政府采购情况：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年本部门政府采购预算总额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万元，其中，货物类采购预算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万元；工程类采购预算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万元；服务类采购预算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（五）国有资产占用使用及新增资产配置情况：截至</w:t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月底，本部门共有公务用车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辆，其中，机要通信用车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辆，应急保障用车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辆，执法执勤用车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辆，特种专业技术用车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辆，其他按照规定配备的公务用车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辆；单位价值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万元以上通用设备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台，单位价值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万元以上专用设备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台。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年拟新增配置公务用车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辆，其中，机要通信用车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辆，应急保障用车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辆，执法执勤用车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辆，特种专业技术用车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辆，其他按照规定配备的公务用车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辆；新增配备单位价值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万元以上通用设备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台，单位价值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万元以上专用设备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台。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 预算绩效目标说明：</w:t>
      </w:r>
      <w:r>
        <w:rPr>
          <w:rFonts w:hint="eastAsia" w:eastAsia="仿宋_GB2312"/>
          <w:kern w:val="0"/>
          <w:sz w:val="32"/>
          <w:szCs w:val="32"/>
        </w:rPr>
        <w:t>本单位所有支出实行绩效目标管理。纳入2022年部门整体支出绩效目标的金额为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1667</w:t>
      </w:r>
      <w:r>
        <w:rPr>
          <w:rFonts w:hint="eastAsia" w:eastAsia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  <w:lang w:eastAsia="zh-CN"/>
        </w:rPr>
        <w:t>，其中，基本支出1477.7万元，项目支出189.3万元，具体绩效目标详见报表。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（七）其他问题说明：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双峰县人民检察院无政府性基金预算支出、国有资本经营预算支出、财政专户管理资金预算支出和省级专项资金预算，所以表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无数据。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经费：纳入省（市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县）财政预算管理的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仿宋_GB2312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第二部分 202</w:t>
      </w:r>
      <w:r>
        <w:rPr>
          <w:rFonts w:hint="eastAsia" w:eastAsia="方正小标宋_GBK"/>
          <w:bCs/>
          <w:kern w:val="0"/>
          <w:sz w:val="36"/>
          <w:szCs w:val="36"/>
        </w:rPr>
        <w:t>2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97C5C"/>
    <w:multiLevelType w:val="singleLevel"/>
    <w:tmpl w:val="CBD97C5C"/>
    <w:lvl w:ilvl="0" w:tentative="0">
      <w:start w:val="3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Yzg3MTk3NzkyNWFlNjA0NDk5OGU3OTNlMWFmZDAifQ=="/>
  </w:docVars>
  <w:rsids>
    <w:rsidRoot w:val="00172A27"/>
    <w:rsid w:val="00040E2E"/>
    <w:rsid w:val="00137403"/>
    <w:rsid w:val="00140B81"/>
    <w:rsid w:val="00172A27"/>
    <w:rsid w:val="001978BB"/>
    <w:rsid w:val="00245D6C"/>
    <w:rsid w:val="00292A17"/>
    <w:rsid w:val="002958D4"/>
    <w:rsid w:val="00321B8E"/>
    <w:rsid w:val="00346488"/>
    <w:rsid w:val="00393DD4"/>
    <w:rsid w:val="003B3D4E"/>
    <w:rsid w:val="003C7382"/>
    <w:rsid w:val="003F21E5"/>
    <w:rsid w:val="00402E11"/>
    <w:rsid w:val="00417B62"/>
    <w:rsid w:val="00482534"/>
    <w:rsid w:val="0051319D"/>
    <w:rsid w:val="005E6760"/>
    <w:rsid w:val="006110A1"/>
    <w:rsid w:val="006829F8"/>
    <w:rsid w:val="006953E9"/>
    <w:rsid w:val="006C018D"/>
    <w:rsid w:val="007C63C0"/>
    <w:rsid w:val="008525C9"/>
    <w:rsid w:val="008B1CFA"/>
    <w:rsid w:val="008B7300"/>
    <w:rsid w:val="00A944B4"/>
    <w:rsid w:val="00AE5FD9"/>
    <w:rsid w:val="00B07B34"/>
    <w:rsid w:val="00B34AC3"/>
    <w:rsid w:val="00BA52EE"/>
    <w:rsid w:val="00C30100"/>
    <w:rsid w:val="00C46464"/>
    <w:rsid w:val="00CE1D71"/>
    <w:rsid w:val="00D025B8"/>
    <w:rsid w:val="00D277CA"/>
    <w:rsid w:val="00DE28DD"/>
    <w:rsid w:val="00E1236E"/>
    <w:rsid w:val="00EA46F1"/>
    <w:rsid w:val="00EC4B44"/>
    <w:rsid w:val="00EF136E"/>
    <w:rsid w:val="00F80AF8"/>
    <w:rsid w:val="013645C3"/>
    <w:rsid w:val="03195788"/>
    <w:rsid w:val="04004C1C"/>
    <w:rsid w:val="04E83035"/>
    <w:rsid w:val="05510DB5"/>
    <w:rsid w:val="05A5559C"/>
    <w:rsid w:val="068B4503"/>
    <w:rsid w:val="084B35B4"/>
    <w:rsid w:val="09445574"/>
    <w:rsid w:val="0A47328F"/>
    <w:rsid w:val="0BBF3EFE"/>
    <w:rsid w:val="0C6B1FA9"/>
    <w:rsid w:val="0D9F5CFD"/>
    <w:rsid w:val="0F715ECE"/>
    <w:rsid w:val="115B2180"/>
    <w:rsid w:val="122018E6"/>
    <w:rsid w:val="13175C84"/>
    <w:rsid w:val="14075EAB"/>
    <w:rsid w:val="14353B16"/>
    <w:rsid w:val="147A65BA"/>
    <w:rsid w:val="14F90C5B"/>
    <w:rsid w:val="15D41360"/>
    <w:rsid w:val="188513F9"/>
    <w:rsid w:val="18BF29CD"/>
    <w:rsid w:val="19B80874"/>
    <w:rsid w:val="19C042B8"/>
    <w:rsid w:val="1A935EAF"/>
    <w:rsid w:val="1B0845EE"/>
    <w:rsid w:val="1C083AA3"/>
    <w:rsid w:val="1C613C7E"/>
    <w:rsid w:val="1C743A19"/>
    <w:rsid w:val="1F061311"/>
    <w:rsid w:val="1F6B19C0"/>
    <w:rsid w:val="209E25AA"/>
    <w:rsid w:val="21423E8E"/>
    <w:rsid w:val="223F1F4C"/>
    <w:rsid w:val="229D5692"/>
    <w:rsid w:val="23356AAB"/>
    <w:rsid w:val="248D4246"/>
    <w:rsid w:val="25D40FE8"/>
    <w:rsid w:val="25E628C8"/>
    <w:rsid w:val="26E77D47"/>
    <w:rsid w:val="2887358B"/>
    <w:rsid w:val="289533C2"/>
    <w:rsid w:val="28F37C87"/>
    <w:rsid w:val="294E5AC5"/>
    <w:rsid w:val="29FF3EEA"/>
    <w:rsid w:val="2BC06987"/>
    <w:rsid w:val="2C8067BD"/>
    <w:rsid w:val="2CFA58F7"/>
    <w:rsid w:val="2EED57D2"/>
    <w:rsid w:val="30130218"/>
    <w:rsid w:val="314A57BE"/>
    <w:rsid w:val="32CF230F"/>
    <w:rsid w:val="32FA0641"/>
    <w:rsid w:val="33182ED6"/>
    <w:rsid w:val="36BE28F0"/>
    <w:rsid w:val="377A44E1"/>
    <w:rsid w:val="38FF2ADB"/>
    <w:rsid w:val="392E6064"/>
    <w:rsid w:val="3AB346AB"/>
    <w:rsid w:val="3BC1506C"/>
    <w:rsid w:val="3D9F0761"/>
    <w:rsid w:val="3EE31532"/>
    <w:rsid w:val="41E65F5D"/>
    <w:rsid w:val="42173DE8"/>
    <w:rsid w:val="43ED3B22"/>
    <w:rsid w:val="44D14273"/>
    <w:rsid w:val="45F004A7"/>
    <w:rsid w:val="46675D07"/>
    <w:rsid w:val="468B4B88"/>
    <w:rsid w:val="4934562B"/>
    <w:rsid w:val="4B22539B"/>
    <w:rsid w:val="4BAB38AE"/>
    <w:rsid w:val="4C3E34F7"/>
    <w:rsid w:val="4C7A278B"/>
    <w:rsid w:val="4C8224DA"/>
    <w:rsid w:val="4D2D16B8"/>
    <w:rsid w:val="509A7651"/>
    <w:rsid w:val="50ED097F"/>
    <w:rsid w:val="50FB768A"/>
    <w:rsid w:val="517B0AA0"/>
    <w:rsid w:val="51B9178A"/>
    <w:rsid w:val="52746B57"/>
    <w:rsid w:val="5395549B"/>
    <w:rsid w:val="54A015B3"/>
    <w:rsid w:val="54DB7619"/>
    <w:rsid w:val="56436FA5"/>
    <w:rsid w:val="57477D90"/>
    <w:rsid w:val="5AB5495E"/>
    <w:rsid w:val="5DC83483"/>
    <w:rsid w:val="5F990B96"/>
    <w:rsid w:val="621B5236"/>
    <w:rsid w:val="64954CB0"/>
    <w:rsid w:val="649B58C1"/>
    <w:rsid w:val="65872D51"/>
    <w:rsid w:val="6721095D"/>
    <w:rsid w:val="69DF7D29"/>
    <w:rsid w:val="69F85069"/>
    <w:rsid w:val="6B7A0C3E"/>
    <w:rsid w:val="720F41BC"/>
    <w:rsid w:val="72453D3F"/>
    <w:rsid w:val="726E7AF1"/>
    <w:rsid w:val="74F13AA4"/>
    <w:rsid w:val="76354832"/>
    <w:rsid w:val="770C691F"/>
    <w:rsid w:val="77E75703"/>
    <w:rsid w:val="783E70C2"/>
    <w:rsid w:val="78BB0213"/>
    <w:rsid w:val="7C8D4D1E"/>
    <w:rsid w:val="7D1A7378"/>
    <w:rsid w:val="7D6F0198"/>
    <w:rsid w:val="7DD2769D"/>
    <w:rsid w:val="7DE20E60"/>
    <w:rsid w:val="7DF91CDD"/>
    <w:rsid w:val="7EDD1DFE"/>
    <w:rsid w:val="7EE7079A"/>
    <w:rsid w:val="7F9DA653"/>
    <w:rsid w:val="DEFC79C0"/>
    <w:rsid w:val="DF56A2F9"/>
    <w:rsid w:val="EFF7F1F5"/>
    <w:rsid w:val="FD5770D4"/>
    <w:rsid w:val="FE1A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nhideWhenUsed="0" w:uiPriority="99" w:semiHidden="0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qFormat/>
    <w:uiPriority w:val="99"/>
    <w:rPr>
      <w:sz w:val="18"/>
      <w:szCs w:val="18"/>
    </w:r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FollowedHyperlink"/>
    <w:qFormat/>
    <w:uiPriority w:val="99"/>
    <w:rPr>
      <w:rFonts w:cs="Times New Roman"/>
      <w:color w:val="555555"/>
      <w:u w:val="none"/>
    </w:rPr>
  </w:style>
  <w:style w:type="character" w:styleId="11">
    <w:name w:val="Emphasis"/>
    <w:qFormat/>
    <w:uiPriority w:val="99"/>
    <w:rPr>
      <w:rFonts w:cs="Times New Roman"/>
    </w:rPr>
  </w:style>
  <w:style w:type="character" w:styleId="12">
    <w:name w:val="HTML Definition"/>
    <w:qFormat/>
    <w:uiPriority w:val="99"/>
    <w:rPr>
      <w:rFonts w:cs="Times New Roman"/>
    </w:rPr>
  </w:style>
  <w:style w:type="character" w:styleId="13">
    <w:name w:val="HTML Typewriter"/>
    <w:qFormat/>
    <w:uiPriority w:val="99"/>
    <w:rPr>
      <w:rFonts w:ascii="monospace" w:hAnsi="monospace" w:eastAsia="Times New Roman" w:cs="monospace"/>
      <w:sz w:val="20"/>
    </w:rPr>
  </w:style>
  <w:style w:type="character" w:styleId="14">
    <w:name w:val="HTML Acronym"/>
    <w:qFormat/>
    <w:uiPriority w:val="99"/>
    <w:rPr>
      <w:rFonts w:cs="Times New Roman"/>
    </w:rPr>
  </w:style>
  <w:style w:type="character" w:styleId="15">
    <w:name w:val="HTML Variable"/>
    <w:qFormat/>
    <w:uiPriority w:val="99"/>
    <w:rPr>
      <w:rFonts w:cs="Times New Roman"/>
    </w:rPr>
  </w:style>
  <w:style w:type="character" w:styleId="16">
    <w:name w:val="Hyperlink"/>
    <w:qFormat/>
    <w:uiPriority w:val="99"/>
    <w:rPr>
      <w:rFonts w:cs="Times New Roman"/>
      <w:color w:val="555555"/>
      <w:u w:val="none"/>
    </w:rPr>
  </w:style>
  <w:style w:type="character" w:styleId="17">
    <w:name w:val="HTML Code"/>
    <w:qFormat/>
    <w:uiPriority w:val="99"/>
    <w:rPr>
      <w:rFonts w:ascii="monospace" w:hAnsi="monospace" w:eastAsia="Times New Roman" w:cs="monospace"/>
      <w:sz w:val="20"/>
    </w:rPr>
  </w:style>
  <w:style w:type="character" w:styleId="18">
    <w:name w:val="HTML Cite"/>
    <w:qFormat/>
    <w:uiPriority w:val="99"/>
    <w:rPr>
      <w:rFonts w:cs="Times New Roman"/>
      <w:color w:val="FF0000"/>
      <w:u w:val="single"/>
    </w:rPr>
  </w:style>
  <w:style w:type="character" w:styleId="19">
    <w:name w:val="HTML Keyboard"/>
    <w:qFormat/>
    <w:uiPriority w:val="99"/>
    <w:rPr>
      <w:rFonts w:ascii="monospace" w:hAnsi="monospace" w:eastAsia="Times New Roman" w:cs="monospace"/>
      <w:sz w:val="20"/>
    </w:rPr>
  </w:style>
  <w:style w:type="character" w:styleId="20">
    <w:name w:val="HTML Sample"/>
    <w:qFormat/>
    <w:uiPriority w:val="99"/>
    <w:rPr>
      <w:rFonts w:ascii="monospace" w:hAnsi="monospace" w:eastAsia="Times New Roman" w:cs="monospace"/>
    </w:rPr>
  </w:style>
  <w:style w:type="character" w:customStyle="1" w:styleId="21">
    <w:name w:val="批注框文本 字符"/>
    <w:link w:val="2"/>
    <w:qFormat/>
    <w:locked/>
    <w:uiPriority w:val="99"/>
    <w:rPr>
      <w:kern w:val="2"/>
      <w:sz w:val="18"/>
    </w:rPr>
  </w:style>
  <w:style w:type="character" w:customStyle="1" w:styleId="22">
    <w:name w:val="页脚 字符"/>
    <w:link w:val="3"/>
    <w:qFormat/>
    <w:locked/>
    <w:uiPriority w:val="99"/>
    <w:rPr>
      <w:kern w:val="2"/>
      <w:sz w:val="18"/>
    </w:rPr>
  </w:style>
  <w:style w:type="character" w:customStyle="1" w:styleId="23">
    <w:name w:val="页眉 字符"/>
    <w:link w:val="4"/>
    <w:qFormat/>
    <w:locked/>
    <w:uiPriority w:val="99"/>
    <w:rPr>
      <w:kern w:val="2"/>
      <w:sz w:val="18"/>
    </w:rPr>
  </w:style>
  <w:style w:type="character" w:customStyle="1" w:styleId="24">
    <w:name w:val="bds_more2"/>
    <w:qFormat/>
    <w:uiPriority w:val="99"/>
    <w:rPr>
      <w:rFonts w:cs="Times New Roman"/>
    </w:rPr>
  </w:style>
  <w:style w:type="character" w:customStyle="1" w:styleId="25">
    <w:name w:val="bds_more1"/>
    <w:qFormat/>
    <w:uiPriority w:val="99"/>
    <w:rPr>
      <w:rFonts w:ascii="宋体" w:hAnsi="宋体" w:eastAsia="宋体" w:cs="宋体"/>
    </w:rPr>
  </w:style>
  <w:style w:type="character" w:customStyle="1" w:styleId="26">
    <w:name w:val="right5"/>
    <w:qFormat/>
    <w:uiPriority w:val="99"/>
    <w:rPr>
      <w:rFonts w:cs="Times New Roman"/>
    </w:rPr>
  </w:style>
  <w:style w:type="character" w:customStyle="1" w:styleId="27">
    <w:name w:val="right6"/>
    <w:qFormat/>
    <w:uiPriority w:val="99"/>
    <w:rPr>
      <w:rFonts w:cs="Times New Roman"/>
    </w:rPr>
  </w:style>
  <w:style w:type="character" w:customStyle="1" w:styleId="28">
    <w:name w:val="bds_nopic2"/>
    <w:qFormat/>
    <w:uiPriority w:val="99"/>
    <w:rPr>
      <w:rFonts w:cs="Times New Roman"/>
    </w:rPr>
  </w:style>
  <w:style w:type="character" w:customStyle="1" w:styleId="29">
    <w:name w:val="bds_nopic1"/>
    <w:qFormat/>
    <w:uiPriority w:val="99"/>
    <w:rPr>
      <w:rFonts w:cs="Times New Roman"/>
    </w:rPr>
  </w:style>
  <w:style w:type="character" w:customStyle="1" w:styleId="30">
    <w:name w:val="retractmanager"/>
    <w:qFormat/>
    <w:uiPriority w:val="99"/>
    <w:rPr>
      <w:rFonts w:cs="Times New Roman"/>
      <w:color w:val="FF002A"/>
    </w:rPr>
  </w:style>
  <w:style w:type="character" w:customStyle="1" w:styleId="31">
    <w:name w:val="bds_more"/>
    <w:qFormat/>
    <w:uiPriority w:val="99"/>
    <w:rPr>
      <w:rFonts w:cs="Times New Roman"/>
    </w:rPr>
  </w:style>
  <w:style w:type="character" w:customStyle="1" w:styleId="32">
    <w:name w:val="displaycontent"/>
    <w:qFormat/>
    <w:uiPriority w:val="99"/>
    <w:rPr>
      <w:rFonts w:cs="Times New Roman"/>
      <w:color w:val="FF002A"/>
    </w:rPr>
  </w:style>
  <w:style w:type="character" w:customStyle="1" w:styleId="33">
    <w:name w:val="bds_nopic"/>
    <w:qFormat/>
    <w:uiPriority w:val="99"/>
    <w:rPr>
      <w:rFonts w:cs="Times New Roman"/>
    </w:rPr>
  </w:style>
  <w:style w:type="character" w:customStyle="1" w:styleId="34">
    <w:name w:val="mk5_wzstyle"/>
    <w:qFormat/>
    <w:uiPriority w:val="99"/>
    <w:rPr>
      <w:rFonts w:cs="Times New Roman"/>
    </w:rPr>
  </w:style>
  <w:style w:type="character" w:customStyle="1" w:styleId="35">
    <w:name w:val="hover17"/>
    <w:qFormat/>
    <w:uiPriority w:val="99"/>
    <w:rPr>
      <w:rFonts w:cs="Times New Roman"/>
    </w:rPr>
  </w:style>
  <w:style w:type="character" w:customStyle="1" w:styleId="36">
    <w:name w:val="size"/>
    <w:qFormat/>
    <w:uiPriority w:val="99"/>
    <w:rPr>
      <w:rFonts w:cs="Times New Roman"/>
    </w:rPr>
  </w:style>
  <w:style w:type="character" w:customStyle="1" w:styleId="37">
    <w:name w:val="p12_blue"/>
    <w:qFormat/>
    <w:uiPriority w:val="99"/>
    <w:rPr>
      <w:rFonts w:cs="Times New Roman"/>
    </w:rPr>
  </w:style>
  <w:style w:type="character" w:customStyle="1" w:styleId="38">
    <w:name w:val="bsharetext"/>
    <w:qFormat/>
    <w:uiPriority w:val="99"/>
    <w:rPr>
      <w:rFonts w:cs="Times New Roman"/>
    </w:rPr>
  </w:style>
  <w:style w:type="paragraph" w:customStyle="1" w:styleId="39">
    <w:name w:val="普通(网站)1"/>
    <w:basedOn w:val="1"/>
    <w:qFormat/>
    <w:uiPriority w:val="99"/>
    <w:pPr>
      <w:jc w:val="left"/>
    </w:pPr>
    <w:rPr>
      <w:sz w:val="24"/>
    </w:rPr>
  </w:style>
  <w:style w:type="paragraph" w:customStyle="1" w:styleId="40">
    <w:name w:val="Char"/>
    <w:basedOn w:val="1"/>
    <w:qFormat/>
    <w:uiPriority w:val="99"/>
    <w:pPr>
      <w:widowControl/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2947</Words>
  <Characters>3219</Characters>
  <Lines>23</Lines>
  <Paragraphs>6</Paragraphs>
  <TotalTime>265</TotalTime>
  <ScaleCrop>false</ScaleCrop>
  <LinksUpToDate>false</LinksUpToDate>
  <CharactersWithSpaces>3228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2021-03-08T18:17:00Z</dcterms:created>
  <dc:creator>高立朝 10.104.97.45</dc:creator>
  <cp:lastModifiedBy>greatwall</cp:lastModifiedBy>
  <cp:lastPrinted>2021-03-07T17:56:00Z</cp:lastPrinted>
  <dcterms:modified xsi:type="dcterms:W3CDTF">2023-10-07T13:46:25Z</dcterms:modified>
  <dc:title>附件1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1A424CF8A8434BBBBC2DC00D39F71D83</vt:lpwstr>
  </property>
</Properties>
</file>