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</w:t>
      </w:r>
      <w:r>
        <w:rPr>
          <w:rFonts w:hint="eastAsia" w:eastAsia="仿宋_GB2312"/>
          <w:bCs/>
          <w:kern w:val="0"/>
          <w:sz w:val="32"/>
          <w:szCs w:val="32"/>
        </w:rPr>
        <w:t>2</w:t>
      </w:r>
      <w:r>
        <w:rPr>
          <w:rFonts w:eastAsia="仿宋_GB2312"/>
          <w:bCs/>
          <w:kern w:val="0"/>
          <w:sz w:val="32"/>
          <w:szCs w:val="32"/>
        </w:rPr>
        <w:t>：</w:t>
      </w:r>
    </w:p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</w:t>
      </w:r>
      <w:r>
        <w:rPr>
          <w:rFonts w:hint="eastAsia" w:eastAsia="方正小标宋_GBK"/>
          <w:bCs/>
          <w:kern w:val="0"/>
          <w:sz w:val="44"/>
          <w:szCs w:val="44"/>
        </w:rPr>
        <w:t>2</w:t>
      </w:r>
      <w:r>
        <w:rPr>
          <w:rFonts w:eastAsia="方正小标宋_GBK"/>
          <w:bCs/>
          <w:kern w:val="0"/>
          <w:sz w:val="44"/>
          <w:szCs w:val="44"/>
        </w:rPr>
        <w:t>年</w:t>
      </w:r>
      <w:r>
        <w:rPr>
          <w:rFonts w:hint="eastAsia" w:eastAsia="方正小标宋_GBK"/>
          <w:bCs/>
          <w:kern w:val="0"/>
          <w:sz w:val="44"/>
          <w:szCs w:val="44"/>
        </w:rPr>
        <w:t>涟源市人民检察院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2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</w:t>
      </w:r>
      <w:r>
        <w:rPr>
          <w:rFonts w:hint="eastAsia" w:eastAsia="仿宋_GB2312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年部门预算说明</w:t>
      </w:r>
    </w:p>
    <w:p>
      <w:pPr>
        <w:widowControl/>
        <w:spacing w:line="600" w:lineRule="exact"/>
        <w:ind w:firstLine="642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</w:t>
      </w:r>
      <w:r>
        <w:rPr>
          <w:rFonts w:hint="eastAsia" w:eastAsia="仿宋_GB2312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widowControl/>
        <w:spacing w:line="600" w:lineRule="exact"/>
        <w:rPr>
          <w:rFonts w:hint="eastAsia"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/>
          <w:b/>
          <w:bCs/>
          <w:kern w:val="0"/>
          <w:sz w:val="44"/>
          <w:szCs w:val="44"/>
        </w:rPr>
        <w:t>第一部分 202</w:t>
      </w:r>
      <w:r>
        <w:rPr>
          <w:rFonts w:hint="eastAsia" w:ascii="宋体" w:hAnsi="宋体"/>
          <w:b/>
          <w:bCs/>
          <w:kern w:val="0"/>
          <w:sz w:val="44"/>
          <w:szCs w:val="44"/>
        </w:rPr>
        <w:t>2</w:t>
      </w:r>
      <w:r>
        <w:rPr>
          <w:rFonts w:ascii="宋体" w:hAnsi="宋体"/>
          <w:b/>
          <w:bCs/>
          <w:kern w:val="0"/>
          <w:sz w:val="44"/>
          <w:szCs w:val="44"/>
        </w:rPr>
        <w:t>年部门预算说明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</w:t>
      </w:r>
      <w:r>
        <w:rPr>
          <w:rFonts w:hint="eastAsia" w:eastAsia="黑体"/>
          <w:bCs/>
          <w:kern w:val="0"/>
          <w:sz w:val="32"/>
          <w:szCs w:val="32"/>
        </w:rPr>
        <w:t>单位</w:t>
      </w:r>
      <w:r>
        <w:rPr>
          <w:rFonts w:eastAsia="黑体"/>
          <w:bCs/>
          <w:kern w:val="0"/>
          <w:sz w:val="32"/>
          <w:szCs w:val="32"/>
        </w:rPr>
        <w:t>基本概况</w:t>
      </w:r>
    </w:p>
    <w:p>
      <w:pPr>
        <w:snapToGrid w:val="0"/>
        <w:spacing w:line="588" w:lineRule="exact"/>
        <w:ind w:firstLine="642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</w:p>
    <w:p>
      <w:pPr>
        <w:pStyle w:val="45"/>
        <w:widowControl/>
        <w:snapToGrid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人民检察院是国家的法律监督机关，接受上级人民检察院的领导，对市人民代表大会及其常务委员会负责并报告工作。其主要职责是：</w:t>
      </w:r>
    </w:p>
    <w:p>
      <w:pPr>
        <w:pStyle w:val="46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1.深入贯彻习近平新时代中国特色社会主义思想，深入贯彻党的路线方针政策和决策部署，统一全市检察机关思想和行动，坚持党对检察工作的绝对领导，坚决维护习近平总书记的核心地位，坚决维护党中央权威和集中统一领导。</w:t>
      </w:r>
    </w:p>
    <w:p>
      <w:pPr>
        <w:pStyle w:val="46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2.依照法律规定对由市人民检察院直接受理的刑事案件行使侦查权。</w:t>
      </w:r>
    </w:p>
    <w:p>
      <w:pPr>
        <w:pStyle w:val="46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3.对辖区内的重大刑事案件依法审查批准逮捕、决定逮捕、提起公诉，领导全省各级人民检察院开展对刑事犯罪案件的审查批准逮捕、决定逮捕、提起公诉工作。</w:t>
      </w:r>
    </w:p>
    <w:p>
      <w:pPr>
        <w:pStyle w:val="46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4.负责应由市人民检察院承办的刑事、民事、行政诉讼活动及刑事、民事、行政判决和裁定等生效法律文书执行的法律监督工作。</w:t>
      </w:r>
    </w:p>
    <w:p>
      <w:pPr>
        <w:pStyle w:val="46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5.负责应由市人民检察院承办的提起公益诉讼工作。</w:t>
      </w:r>
    </w:p>
    <w:p>
      <w:pPr>
        <w:pStyle w:val="46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6.负责应由市人民检察院承办的对监狱、看守所等执法活动的法律监督工作。</w:t>
      </w:r>
    </w:p>
    <w:p>
      <w:pPr>
        <w:pStyle w:val="46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7.受理向市人民检察院的控告申诉。</w:t>
      </w:r>
    </w:p>
    <w:p>
      <w:pPr>
        <w:pStyle w:val="46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8.负责市检察机关队伍建设和思想政治工作。</w:t>
      </w:r>
    </w:p>
    <w:p>
      <w:pPr>
        <w:pStyle w:val="46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9.协同省委主管部门管理和考核全省市、县两级人民检察院的检察长，协同市州党委管理和考核市州人民检察院的副检察长。</w:t>
      </w:r>
    </w:p>
    <w:p>
      <w:pPr>
        <w:pStyle w:val="46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10. 负责市检察院的检务督察工作。</w:t>
      </w:r>
    </w:p>
    <w:p>
      <w:pPr>
        <w:pStyle w:val="46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11.规划市检察机关的财务装备工作</w:t>
      </w:r>
    </w:p>
    <w:p>
      <w:pPr>
        <w:pStyle w:val="46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12.负责其他应当由负责市人民检察院承办的事项。</w:t>
      </w:r>
    </w:p>
    <w:p>
      <w:pPr>
        <w:widowControl/>
        <w:spacing w:line="600" w:lineRule="exact"/>
        <w:ind w:firstLine="629" w:firstLineChars="19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（二）机构设置。</w:t>
      </w:r>
      <w:r>
        <w:rPr>
          <w:rFonts w:hint="eastAsia" w:ascii="仿宋_GB2312" w:hAnsi="仿宋" w:eastAsia="仿宋_GB2312"/>
          <w:sz w:val="32"/>
          <w:szCs w:val="32"/>
        </w:rPr>
        <w:t>第一检察部、第二检察部、第三检察部、第四检察部、第五检察部、第六检察部、办公室、政治部。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二、部门预算单位构成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涟源市人民检察院只有本级，没有其他预算单位，因此本部门预算仅含本级预算。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三</w:t>
      </w:r>
      <w:r>
        <w:rPr>
          <w:rFonts w:eastAsia="黑体"/>
          <w:kern w:val="0"/>
          <w:sz w:val="32"/>
          <w:szCs w:val="32"/>
        </w:rPr>
        <w:t>、</w:t>
      </w:r>
      <w:r>
        <w:rPr>
          <w:rFonts w:eastAsia="黑体"/>
          <w:bCs/>
          <w:kern w:val="0"/>
          <w:sz w:val="32"/>
          <w:szCs w:val="32"/>
        </w:rPr>
        <w:t>部门收支总体情况</w:t>
      </w:r>
    </w:p>
    <w:p>
      <w:pPr>
        <w:widowControl/>
        <w:spacing w:line="600" w:lineRule="exact"/>
        <w:ind w:firstLine="629" w:firstLineChars="196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年本部门收入预算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1813.87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1395.69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中央一般公共预算补助</w:t>
      </w:r>
      <w:r>
        <w:rPr>
          <w:rFonts w:hint="eastAsia" w:eastAsia="仿宋_GB2312"/>
          <w:sz w:val="32"/>
          <w:szCs w:val="32"/>
          <w:u w:val="single"/>
        </w:rPr>
        <w:t>397.31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政府性基金预算拨款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上年结转结余</w:t>
      </w:r>
      <w:r>
        <w:rPr>
          <w:rFonts w:hint="eastAsia" w:eastAsia="仿宋_GB2312"/>
          <w:sz w:val="32"/>
          <w:szCs w:val="32"/>
          <w:u w:val="single"/>
        </w:rPr>
        <w:t>20.87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收入较去年增加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92.71  </w:t>
      </w:r>
      <w:r>
        <w:rPr>
          <w:rFonts w:eastAsia="仿宋_GB2312"/>
          <w:b/>
          <w:sz w:val="32"/>
          <w:szCs w:val="32"/>
        </w:rPr>
        <w:t>万元，</w:t>
      </w:r>
      <w:r>
        <w:rPr>
          <w:rFonts w:eastAsia="仿宋_GB2312"/>
          <w:b/>
          <w:bCs w:val="0"/>
          <w:sz w:val="32"/>
          <w:szCs w:val="32"/>
        </w:rPr>
        <w:t>主要是</w:t>
      </w:r>
      <w:r>
        <w:rPr>
          <w:rFonts w:hint="eastAsia" w:ascii="仿宋_GB2312" w:eastAsia="仿宋_GB2312"/>
          <w:b/>
          <w:bCs w:val="0"/>
          <w:sz w:val="32"/>
          <w:szCs w:val="32"/>
        </w:rPr>
        <w:t>因为上年结转结余减少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2.53</w:t>
      </w:r>
      <w:r>
        <w:rPr>
          <w:rFonts w:hint="eastAsia" w:ascii="仿宋_GB2312" w:eastAsia="仿宋_GB2312"/>
          <w:b/>
          <w:bCs w:val="0"/>
          <w:sz w:val="32"/>
          <w:szCs w:val="32"/>
        </w:rPr>
        <w:t>万元，一般公共预算拨款增加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119.24</w:t>
      </w:r>
      <w:r>
        <w:rPr>
          <w:rFonts w:hint="eastAsia" w:ascii="仿宋_GB2312" w:eastAsia="仿宋_GB2312"/>
          <w:b/>
          <w:bCs w:val="0"/>
          <w:sz w:val="32"/>
          <w:szCs w:val="32"/>
        </w:rPr>
        <w:t>万元，中央财政补助减少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/>
          <w:bCs w:val="0"/>
          <w:sz w:val="32"/>
          <w:szCs w:val="32"/>
        </w:rPr>
        <w:t>万元</w:t>
      </w:r>
      <w:r>
        <w:rPr>
          <w:rFonts w:eastAsia="仿宋_GB2312"/>
          <w:b/>
          <w:bCs w:val="0"/>
          <w:sz w:val="32"/>
          <w:szCs w:val="32"/>
        </w:rPr>
        <w:t>。</w:t>
      </w:r>
    </w:p>
    <w:p>
      <w:pPr>
        <w:widowControl/>
        <w:spacing w:line="600" w:lineRule="exact"/>
        <w:ind w:firstLine="629" w:firstLineChars="196"/>
        <w:jc w:val="left"/>
        <w:rPr>
          <w:rFonts w:eastAsia="仿宋_GB2312"/>
          <w:b/>
          <w:bCs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年本部门支出预算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1813.87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万元，其中，公共安全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1558.87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万元，教育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2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社会保障和就业支出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90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卫生健康支出</w:t>
      </w:r>
      <w:r>
        <w:rPr>
          <w:rFonts w:hint="eastAsia" w:eastAsia="仿宋_GB2312"/>
          <w:sz w:val="32"/>
          <w:szCs w:val="32"/>
          <w:u w:val="single"/>
        </w:rPr>
        <w:t>48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u w:val="single"/>
        </w:rPr>
        <w:t>115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支出较去年增加</w:t>
      </w:r>
      <w:r>
        <w:rPr>
          <w:rFonts w:hint="eastAsia" w:eastAsia="仿宋_GB2312"/>
          <w:sz w:val="32"/>
          <w:szCs w:val="32"/>
          <w:u w:val="single"/>
        </w:rPr>
        <w:t xml:space="preserve"> 92.71  </w:t>
      </w:r>
      <w:r>
        <w:rPr>
          <w:rFonts w:eastAsia="仿宋_GB2312"/>
          <w:b/>
          <w:sz w:val="32"/>
          <w:szCs w:val="32"/>
        </w:rPr>
        <w:t>万元，主</w:t>
      </w:r>
      <w:r>
        <w:rPr>
          <w:rFonts w:eastAsia="仿宋_GB2312"/>
          <w:b/>
          <w:bCs w:val="0"/>
          <w:sz w:val="32"/>
          <w:szCs w:val="32"/>
        </w:rPr>
        <w:t>要是</w:t>
      </w:r>
      <w:r>
        <w:rPr>
          <w:rFonts w:hint="eastAsia" w:eastAsia="仿宋_GB2312"/>
          <w:b/>
          <w:bCs w:val="0"/>
          <w:sz w:val="32"/>
          <w:szCs w:val="32"/>
          <w:lang w:eastAsia="zh-CN"/>
        </w:rPr>
        <w:t>因为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公共安全支出增加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72.73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万元，社会保障和就业支出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3.58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万元，卫生健康支出增加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6.4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万元，住房保障支出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年本部门一般公共预算拨款支出预算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1813.87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万元，其中，公共安全支出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1558.87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85.94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%；教育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2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0.1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%</w:t>
      </w:r>
      <w:r>
        <w:rPr>
          <w:rFonts w:hint="eastAsia" w:eastAsia="仿宋_GB2312"/>
          <w:sz w:val="32"/>
          <w:szCs w:val="32"/>
        </w:rPr>
        <w:t>；社会保障和就业支出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90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4.96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%</w:t>
      </w:r>
      <w:r>
        <w:rPr>
          <w:rFonts w:hint="eastAsia" w:eastAsia="仿宋_GB2312"/>
          <w:sz w:val="32"/>
          <w:szCs w:val="32"/>
        </w:rPr>
        <w:t>；卫生健康支出</w:t>
      </w:r>
      <w:r>
        <w:rPr>
          <w:rFonts w:hint="eastAsia" w:eastAsia="仿宋_GB2312"/>
          <w:sz w:val="32"/>
          <w:szCs w:val="32"/>
          <w:u w:val="single"/>
        </w:rPr>
        <w:t>48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eastAsia="仿宋_GB2312"/>
          <w:sz w:val="32"/>
          <w:szCs w:val="32"/>
        </w:rPr>
        <w:t>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2.65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%</w:t>
      </w:r>
      <w:r>
        <w:rPr>
          <w:rFonts w:hint="eastAsia" w:eastAsia="仿宋_GB2312"/>
          <w:sz w:val="32"/>
          <w:szCs w:val="32"/>
        </w:rPr>
        <w:t>；住房保障支出</w:t>
      </w:r>
      <w:r>
        <w:rPr>
          <w:rFonts w:hint="eastAsia" w:eastAsia="仿宋_GB2312"/>
          <w:sz w:val="32"/>
          <w:szCs w:val="32"/>
          <w:u w:val="single"/>
        </w:rPr>
        <w:t>115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eastAsia="仿宋_GB2312"/>
          <w:sz w:val="32"/>
          <w:szCs w:val="32"/>
        </w:rPr>
        <w:t>占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6.34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%。具体安排情况如下：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年本部门基本支出预算数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1766.8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年本部门项目支出预算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47.07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eastAsia" w:eastAsia="仿宋_GB2312"/>
          <w:sz w:val="32"/>
          <w:szCs w:val="32"/>
        </w:rPr>
        <w:t>办案经费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20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办案支出</w:t>
      </w:r>
      <w:r>
        <w:rPr>
          <w:rFonts w:eastAsia="仿宋_GB2312"/>
          <w:sz w:val="32"/>
          <w:szCs w:val="32"/>
        </w:rPr>
        <w:t>等方面；</w:t>
      </w:r>
      <w:r>
        <w:rPr>
          <w:rFonts w:hint="eastAsia" w:eastAsia="仿宋_GB2312"/>
          <w:sz w:val="32"/>
          <w:szCs w:val="32"/>
        </w:rPr>
        <w:t>办公设备购置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2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购置办公设备</w:t>
      </w:r>
      <w:r>
        <w:rPr>
          <w:rFonts w:eastAsia="仿宋_GB2312"/>
          <w:sz w:val="32"/>
          <w:szCs w:val="32"/>
        </w:rPr>
        <w:t>等方面；</w:t>
      </w:r>
      <w:r>
        <w:rPr>
          <w:rFonts w:hint="eastAsia" w:eastAsia="仿宋_GB2312"/>
          <w:sz w:val="32"/>
          <w:szCs w:val="32"/>
        </w:rPr>
        <w:t>党建经费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7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开展党性修炼、开展党员活动</w:t>
      </w:r>
      <w:r>
        <w:rPr>
          <w:rFonts w:eastAsia="仿宋_GB2312"/>
          <w:sz w:val="32"/>
          <w:szCs w:val="32"/>
        </w:rPr>
        <w:t>等方面；</w:t>
      </w:r>
      <w:r>
        <w:rPr>
          <w:rFonts w:hint="eastAsia" w:eastAsia="仿宋_GB2312"/>
          <w:sz w:val="32"/>
          <w:szCs w:val="32"/>
        </w:rPr>
        <w:t>公益诉讼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5.7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购置公益诉讼快速检测箱</w:t>
      </w:r>
      <w:r>
        <w:rPr>
          <w:rFonts w:eastAsia="仿宋_GB2312"/>
          <w:sz w:val="32"/>
          <w:szCs w:val="32"/>
        </w:rPr>
        <w:t>；</w:t>
      </w:r>
      <w:r>
        <w:rPr>
          <w:rFonts w:hint="eastAsia" w:eastAsia="仿宋_GB2312"/>
          <w:sz w:val="32"/>
          <w:szCs w:val="32"/>
        </w:rPr>
        <w:t>检察干警基金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1.5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检察干警基金捐款</w:t>
      </w:r>
      <w:r>
        <w:rPr>
          <w:rFonts w:eastAsia="仿宋_GB2312"/>
          <w:sz w:val="32"/>
          <w:szCs w:val="32"/>
        </w:rPr>
        <w:t>；</w:t>
      </w:r>
      <w:r>
        <w:rPr>
          <w:rFonts w:hint="eastAsia" w:eastAsia="仿宋_GB2312"/>
          <w:sz w:val="32"/>
          <w:szCs w:val="32"/>
        </w:rPr>
        <w:t>乡村振兴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10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乡村振兴</w:t>
      </w:r>
      <w:r>
        <w:rPr>
          <w:rFonts w:eastAsia="仿宋_GB2312"/>
          <w:sz w:val="32"/>
          <w:szCs w:val="32"/>
        </w:rPr>
        <w:t>等方面；</w:t>
      </w:r>
      <w:r>
        <w:rPr>
          <w:rFonts w:hint="eastAsia" w:eastAsia="仿宋_GB2312"/>
          <w:sz w:val="32"/>
          <w:szCs w:val="32"/>
        </w:rPr>
        <w:t>智能门禁系统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0.87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建设智能门禁系统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、政府性基金预算支出</w:t>
      </w:r>
    </w:p>
    <w:p>
      <w:pPr>
        <w:widowControl/>
        <w:spacing w:line="600" w:lineRule="exact"/>
        <w:ind w:firstLine="660"/>
        <w:jc w:val="left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本部门无政府性基金安排的支出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年本部门机关运行经费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559.3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万元，比上年预算增加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48.16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万元，上升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8.61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%，主要是</w:t>
      </w:r>
      <w:r>
        <w:rPr>
          <w:rFonts w:hint="eastAsia" w:eastAsia="仿宋_GB2312"/>
          <w:sz w:val="32"/>
          <w:szCs w:val="32"/>
        </w:rPr>
        <w:t>扫黑除恶专项斗争工作效果显著，案件数量逐年攀升，办案成本增加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年本部门“三公”经费预算数为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50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10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40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万元（其中，公务用车购置费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万元，公务用车运行费</w:t>
      </w:r>
      <w:r>
        <w:rPr>
          <w:rFonts w:hint="eastAsia"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万元），因公出国（境）费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年“三公”经费预算较202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年持平。</w:t>
      </w:r>
    </w:p>
    <w:p>
      <w:pPr>
        <w:widowControl/>
        <w:spacing w:line="600" w:lineRule="exact"/>
        <w:ind w:firstLine="660"/>
        <w:rPr>
          <w:rFonts w:hint="eastAsia" w:eastAsia="仿宋_GB2312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年本部门培训费预算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2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万元，拟</w:t>
      </w:r>
      <w:r>
        <w:rPr>
          <w:rFonts w:hint="eastAsia" w:eastAsia="仿宋_GB2312"/>
          <w:kern w:val="0"/>
          <w:sz w:val="32"/>
          <w:szCs w:val="32"/>
        </w:rPr>
        <w:t>开展法律</w:t>
      </w:r>
      <w:r>
        <w:rPr>
          <w:rFonts w:hint="eastAsia" w:eastAsia="仿宋_GB2312"/>
          <w:sz w:val="32"/>
          <w:szCs w:val="32"/>
        </w:rPr>
        <w:t>专业知识</w:t>
      </w:r>
      <w:r>
        <w:rPr>
          <w:rFonts w:eastAsia="仿宋_GB2312"/>
          <w:kern w:val="0"/>
          <w:sz w:val="32"/>
          <w:szCs w:val="32"/>
        </w:rPr>
        <w:t>培训，人数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35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人，内容为</w:t>
      </w:r>
      <w:r>
        <w:rPr>
          <w:rFonts w:hint="eastAsia" w:eastAsia="仿宋_GB2312"/>
          <w:sz w:val="32"/>
          <w:szCs w:val="32"/>
        </w:rPr>
        <w:t>四大检察培训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hint="eastAsia" w:eastAsia="仿宋_GB2312"/>
          <w:kern w:val="0"/>
          <w:sz w:val="32"/>
          <w:szCs w:val="32"/>
          <w:lang w:eastAsia="zh-CN"/>
        </w:rPr>
        <w:t>无会议费预算。</w:t>
      </w:r>
      <w:r>
        <w:rPr>
          <w:rFonts w:hint="eastAsia" w:eastAsia="仿宋_GB2312"/>
          <w:kern w:val="0"/>
          <w:sz w:val="32"/>
          <w:szCs w:val="32"/>
        </w:rPr>
        <w:t>无节庆、晚会、论坛、赛事活动预算。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年本部门政府采购预算总额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atLeast"/>
        <w:ind w:firstLine="661" w:firstLineChars="206"/>
        <w:jc w:val="left"/>
        <w:outlineLvl w:val="2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（五）</w:t>
      </w:r>
      <w:r>
        <w:rPr>
          <w:rFonts w:eastAsia="楷体_GB2312"/>
          <w:b/>
          <w:sz w:val="32"/>
          <w:szCs w:val="32"/>
        </w:rPr>
        <w:t>国有资产占用使用及新增资产配置情况：</w:t>
      </w:r>
      <w:r>
        <w:rPr>
          <w:rFonts w:eastAsia="仿宋_GB2312"/>
          <w:sz w:val="32"/>
          <w:szCs w:val="32"/>
        </w:rPr>
        <w:t>截至202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年12月底，本部门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 xml:space="preserve"> 7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1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应急保障用车0辆，</w:t>
      </w:r>
      <w:r>
        <w:rPr>
          <w:rFonts w:eastAsia="仿宋_GB2312"/>
          <w:bCs/>
          <w:kern w:val="0"/>
          <w:sz w:val="32"/>
          <w:szCs w:val="32"/>
        </w:rPr>
        <w:t>执法执勤用车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6</w:t>
      </w:r>
      <w:r>
        <w:rPr>
          <w:rFonts w:eastAsia="仿宋_GB2312"/>
          <w:bCs/>
          <w:kern w:val="0"/>
          <w:sz w:val="32"/>
          <w:szCs w:val="32"/>
        </w:rPr>
        <w:t>辆；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特种专业技术用车0辆，其他按照规定配备的公务用车0辆。</w:t>
      </w:r>
      <w:r>
        <w:rPr>
          <w:rFonts w:eastAsia="仿宋_GB2312"/>
          <w:bCs/>
          <w:kern w:val="0"/>
          <w:sz w:val="32"/>
          <w:szCs w:val="32"/>
        </w:rPr>
        <w:t>单位价值50万元以上通用设备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1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台。202</w:t>
      </w:r>
      <w:r>
        <w:rPr>
          <w:rFonts w:hint="eastAsia" w:eastAsia="仿宋_GB2312"/>
          <w:bCs/>
          <w:kern w:val="0"/>
          <w:sz w:val="32"/>
          <w:szCs w:val="32"/>
        </w:rPr>
        <w:t>2</w:t>
      </w:r>
      <w:r>
        <w:rPr>
          <w:rFonts w:eastAsia="仿宋_GB2312"/>
          <w:bCs/>
          <w:kern w:val="0"/>
          <w:sz w:val="32"/>
          <w:szCs w:val="32"/>
        </w:rPr>
        <w:t>年拟新增配置公务用车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</w:t>
      </w:r>
      <w:r>
        <w:rPr>
          <w:rFonts w:hint="eastAsia" w:eastAsia="仿宋_GB2312"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其中机要通信用车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辆，应急保障用车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辆，执法执勤用车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辆，特种专业技术用车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辆，其他按照规定配备的公务用车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辆。新增配备单位价值50万元以上通用设备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台，单位价值100万元以上专用设备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台。</w:t>
      </w:r>
    </w:p>
    <w:p>
      <w:pPr>
        <w:widowControl/>
        <w:spacing w:line="600" w:lineRule="atLeast"/>
        <w:ind w:firstLine="661" w:firstLineChars="206"/>
        <w:jc w:val="left"/>
        <w:outlineLvl w:val="2"/>
        <w:rPr>
          <w:rFonts w:hint="default" w:eastAsia="仿宋_GB2312"/>
          <w:bCs/>
          <w:kern w:val="0"/>
          <w:sz w:val="32"/>
          <w:szCs w:val="32"/>
          <w:lang w:val="en-US" w:eastAsia="zh-CN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本单位所有支出实行绩效目标管理。纳入2022年单位整体支出绩效目标的金额为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1813.87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，其中，基本支出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1766.8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47.07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万元，具体绩效目标详见报表。</w:t>
      </w:r>
      <w:bookmarkStart w:id="0" w:name="_GoBack"/>
      <w:bookmarkEnd w:id="0"/>
    </w:p>
    <w:p>
      <w:pPr>
        <w:widowControl/>
        <w:spacing w:line="600" w:lineRule="atLeast"/>
        <w:ind w:firstLine="661" w:firstLineChars="206"/>
        <w:jc w:val="left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eastAsia="楷体_GB2312"/>
          <w:b/>
          <w:bCs/>
          <w:kern w:val="0"/>
          <w:sz w:val="32"/>
          <w:szCs w:val="32"/>
        </w:rPr>
        <w:t>七）其他问题说明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年涟源市人民检察院无政府性基金预算支出、国有资本经营预算支出、财政专户管理资金预算支出和省级专项资金预算，所以表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无数据。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rPr>
          <w:rFonts w:hint="eastAsia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MjQ2MjdkMGJhZmNlNTU3NjE5Zjc3ODM0MDI3YTEifQ=="/>
  </w:docVars>
  <w:rsids>
    <w:rsidRoot w:val="00172A27"/>
    <w:rsid w:val="00051C23"/>
    <w:rsid w:val="001C1269"/>
    <w:rsid w:val="001E55AC"/>
    <w:rsid w:val="00222806"/>
    <w:rsid w:val="0025750C"/>
    <w:rsid w:val="002958D4"/>
    <w:rsid w:val="002D7B6D"/>
    <w:rsid w:val="00402211"/>
    <w:rsid w:val="00482534"/>
    <w:rsid w:val="00573E65"/>
    <w:rsid w:val="00581079"/>
    <w:rsid w:val="005A1A1C"/>
    <w:rsid w:val="005B3BD8"/>
    <w:rsid w:val="006C018D"/>
    <w:rsid w:val="008B7300"/>
    <w:rsid w:val="00951A09"/>
    <w:rsid w:val="00A308E1"/>
    <w:rsid w:val="00AA3797"/>
    <w:rsid w:val="00B0231B"/>
    <w:rsid w:val="00B34AC3"/>
    <w:rsid w:val="00B62E57"/>
    <w:rsid w:val="00BB3B2D"/>
    <w:rsid w:val="00C30100"/>
    <w:rsid w:val="00C85A0D"/>
    <w:rsid w:val="00DE28DD"/>
    <w:rsid w:val="00E74FC0"/>
    <w:rsid w:val="00E90BE8"/>
    <w:rsid w:val="00EA2DF4"/>
    <w:rsid w:val="00F24AE1"/>
    <w:rsid w:val="00F8036C"/>
    <w:rsid w:val="03195788"/>
    <w:rsid w:val="03DE79E8"/>
    <w:rsid w:val="04004C1C"/>
    <w:rsid w:val="047A5783"/>
    <w:rsid w:val="05707ECD"/>
    <w:rsid w:val="05A24484"/>
    <w:rsid w:val="05A5559C"/>
    <w:rsid w:val="068B4503"/>
    <w:rsid w:val="084B35B4"/>
    <w:rsid w:val="09445574"/>
    <w:rsid w:val="0BBF3EFE"/>
    <w:rsid w:val="0C6B1FA9"/>
    <w:rsid w:val="0F3F5AC2"/>
    <w:rsid w:val="0F715ECE"/>
    <w:rsid w:val="115B2180"/>
    <w:rsid w:val="147A65BA"/>
    <w:rsid w:val="14A135EF"/>
    <w:rsid w:val="14F90C5B"/>
    <w:rsid w:val="15D41360"/>
    <w:rsid w:val="18BF29CD"/>
    <w:rsid w:val="19B80874"/>
    <w:rsid w:val="1A935EAF"/>
    <w:rsid w:val="1B0845EE"/>
    <w:rsid w:val="1C083AA3"/>
    <w:rsid w:val="1C613C7E"/>
    <w:rsid w:val="1C6C3530"/>
    <w:rsid w:val="1C743A19"/>
    <w:rsid w:val="1F061311"/>
    <w:rsid w:val="1F6B19C0"/>
    <w:rsid w:val="207861D1"/>
    <w:rsid w:val="23356AAB"/>
    <w:rsid w:val="248D4246"/>
    <w:rsid w:val="25E628C8"/>
    <w:rsid w:val="26E77D47"/>
    <w:rsid w:val="289533C2"/>
    <w:rsid w:val="28F37C87"/>
    <w:rsid w:val="29FF3EEA"/>
    <w:rsid w:val="2CFA58F7"/>
    <w:rsid w:val="2EED57D2"/>
    <w:rsid w:val="314A57BE"/>
    <w:rsid w:val="32963BB1"/>
    <w:rsid w:val="32CF230F"/>
    <w:rsid w:val="32FA0641"/>
    <w:rsid w:val="33CA398D"/>
    <w:rsid w:val="33D53593"/>
    <w:rsid w:val="38FF2ADB"/>
    <w:rsid w:val="392E6064"/>
    <w:rsid w:val="3D9F0761"/>
    <w:rsid w:val="3E55484F"/>
    <w:rsid w:val="3EE31532"/>
    <w:rsid w:val="42141214"/>
    <w:rsid w:val="42173DE8"/>
    <w:rsid w:val="43ED3B22"/>
    <w:rsid w:val="44D14273"/>
    <w:rsid w:val="48BB5677"/>
    <w:rsid w:val="4934562B"/>
    <w:rsid w:val="4B22539B"/>
    <w:rsid w:val="4BAB38AE"/>
    <w:rsid w:val="4C7A278B"/>
    <w:rsid w:val="4C8224DA"/>
    <w:rsid w:val="4D2D16B8"/>
    <w:rsid w:val="509A7651"/>
    <w:rsid w:val="50ED097F"/>
    <w:rsid w:val="52746B57"/>
    <w:rsid w:val="5401689E"/>
    <w:rsid w:val="54DB7619"/>
    <w:rsid w:val="5754314F"/>
    <w:rsid w:val="5E5A4155"/>
    <w:rsid w:val="5F990B96"/>
    <w:rsid w:val="621B5236"/>
    <w:rsid w:val="64954CB0"/>
    <w:rsid w:val="6721095D"/>
    <w:rsid w:val="68953B66"/>
    <w:rsid w:val="69D11C55"/>
    <w:rsid w:val="69F85069"/>
    <w:rsid w:val="6B7A0C3E"/>
    <w:rsid w:val="6BFF9D0B"/>
    <w:rsid w:val="71075AF0"/>
    <w:rsid w:val="726E7AF1"/>
    <w:rsid w:val="74F13AA4"/>
    <w:rsid w:val="751A3E3C"/>
    <w:rsid w:val="75B901D8"/>
    <w:rsid w:val="76354832"/>
    <w:rsid w:val="77E75703"/>
    <w:rsid w:val="783E70C2"/>
    <w:rsid w:val="7AD94E3E"/>
    <w:rsid w:val="7D1A7378"/>
    <w:rsid w:val="7D6F0198"/>
    <w:rsid w:val="7DE20E60"/>
    <w:rsid w:val="7DF91CDD"/>
    <w:rsid w:val="FBBBF43B"/>
    <w:rsid w:val="FDFC501E"/>
    <w:rsid w:val="FE9FB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qFormat/>
    <w:uiPriority w:val="0"/>
    <w:rPr>
      <w:sz w:val="18"/>
      <w:szCs w:val="18"/>
    </w:rPr>
  </w:style>
  <w:style w:type="paragraph" w:styleId="3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FollowedHyperlink"/>
    <w:qFormat/>
    <w:uiPriority w:val="0"/>
    <w:rPr>
      <w:color w:val="555555"/>
      <w:u w:val="none"/>
    </w:rPr>
  </w:style>
  <w:style w:type="character" w:styleId="13">
    <w:name w:val="Emphasis"/>
    <w:qFormat/>
    <w:uiPriority w:val="0"/>
  </w:style>
  <w:style w:type="character" w:styleId="14">
    <w:name w:val="HTML Definition"/>
    <w:qFormat/>
    <w:uiPriority w:val="0"/>
  </w:style>
  <w:style w:type="character" w:styleId="15">
    <w:name w:val="HTML Typewriter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555555"/>
      <w:u w:val="none"/>
    </w:rPr>
  </w:style>
  <w:style w:type="character" w:styleId="19">
    <w:name w:val="HTML Code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qFormat/>
    <w:uiPriority w:val="0"/>
    <w:rPr>
      <w:color w:val="FF0000"/>
      <w:u w:val="single"/>
    </w:rPr>
  </w:style>
  <w:style w:type="character" w:styleId="21">
    <w:name w:val="HTML Keyboard"/>
    <w:qFormat/>
    <w:uiPriority w:val="0"/>
    <w:rPr>
      <w:rFonts w:ascii="monospace" w:hAnsi="monospace" w:eastAsia="monospace" w:cs="monospace"/>
      <w:sz w:val="20"/>
    </w:rPr>
  </w:style>
  <w:style w:type="character" w:styleId="22">
    <w:name w:val="HTML Sample"/>
    <w:qFormat/>
    <w:uiPriority w:val="0"/>
    <w:rPr>
      <w:rFonts w:hint="default" w:ascii="monospace" w:hAnsi="monospace" w:eastAsia="monospace" w:cs="monospace"/>
    </w:rPr>
  </w:style>
  <w:style w:type="character" w:customStyle="1" w:styleId="23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24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25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26">
    <w:name w:val="hover17"/>
    <w:qFormat/>
    <w:uiPriority w:val="0"/>
  </w:style>
  <w:style w:type="character" w:customStyle="1" w:styleId="27">
    <w:name w:val="bds_more1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nopic"/>
    <w:qFormat/>
    <w:uiPriority w:val="0"/>
  </w:style>
  <w:style w:type="character" w:customStyle="1" w:styleId="29">
    <w:name w:val="bds_more"/>
    <w:qFormat/>
    <w:uiPriority w:val="0"/>
  </w:style>
  <w:style w:type="character" w:customStyle="1" w:styleId="30">
    <w:name w:val="bds_more2"/>
    <w:qFormat/>
    <w:uiPriority w:val="0"/>
  </w:style>
  <w:style w:type="character" w:customStyle="1" w:styleId="31">
    <w:name w:val="p12_blue"/>
    <w:qFormat/>
    <w:uiPriority w:val="0"/>
  </w:style>
  <w:style w:type="character" w:customStyle="1" w:styleId="32">
    <w:name w:val="bds_nopic1"/>
    <w:qFormat/>
    <w:uiPriority w:val="0"/>
  </w:style>
  <w:style w:type="character" w:customStyle="1" w:styleId="33">
    <w:name w:val="retractmanager"/>
    <w:qFormat/>
    <w:uiPriority w:val="0"/>
    <w:rPr>
      <w:color w:val="FF002A"/>
    </w:rPr>
  </w:style>
  <w:style w:type="character" w:customStyle="1" w:styleId="34">
    <w:name w:val="displaycontent"/>
    <w:qFormat/>
    <w:uiPriority w:val="0"/>
    <w:rPr>
      <w:color w:val="FF002A"/>
    </w:rPr>
  </w:style>
  <w:style w:type="character" w:customStyle="1" w:styleId="35">
    <w:name w:val="right5"/>
    <w:qFormat/>
    <w:uiPriority w:val="0"/>
  </w:style>
  <w:style w:type="character" w:customStyle="1" w:styleId="36">
    <w:name w:val="bds_nopic2"/>
    <w:qFormat/>
    <w:uiPriority w:val="0"/>
  </w:style>
  <w:style w:type="character" w:customStyle="1" w:styleId="37">
    <w:name w:val="mk5_wzstyle"/>
    <w:qFormat/>
    <w:uiPriority w:val="0"/>
  </w:style>
  <w:style w:type="character" w:customStyle="1" w:styleId="38">
    <w:name w:val="bsharetext"/>
    <w:qFormat/>
    <w:uiPriority w:val="0"/>
  </w:style>
  <w:style w:type="character" w:customStyle="1" w:styleId="39">
    <w:name w:val="right6"/>
    <w:qFormat/>
    <w:uiPriority w:val="0"/>
  </w:style>
  <w:style w:type="character" w:customStyle="1" w:styleId="40">
    <w:name w:val="size"/>
    <w:qFormat/>
    <w:uiPriority w:val="0"/>
  </w:style>
  <w:style w:type="paragraph" w:customStyle="1" w:styleId="4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3">
    <w:name w:val="Normal (Web)"/>
    <w:basedOn w:val="1"/>
    <w:qFormat/>
    <w:uiPriority w:val="0"/>
    <w:pPr>
      <w:jc w:val="left"/>
    </w:pPr>
    <w:rPr>
      <w:rFonts w:hint="eastAsia"/>
      <w:sz w:val="24"/>
    </w:rPr>
  </w:style>
  <w:style w:type="paragraph" w:customStyle="1" w:styleId="44">
    <w:name w:val="Char"/>
    <w:basedOn w:val="1"/>
    <w:qFormat/>
    <w:uiPriority w:val="0"/>
    <w:pPr>
      <w:widowControl/>
      <w:spacing w:line="360" w:lineRule="auto"/>
      <w:jc w:val="left"/>
    </w:pPr>
  </w:style>
  <w:style w:type="paragraph" w:customStyle="1" w:styleId="45">
    <w:name w:val="普通(网站)1"/>
    <w:basedOn w:val="1"/>
    <w:qFormat/>
    <w:uiPriority w:val="0"/>
    <w:pPr>
      <w:jc w:val="left"/>
    </w:pPr>
    <w:rPr>
      <w:rFonts w:hint="eastAsia"/>
      <w:sz w:val="24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3060</Words>
  <Characters>3290</Characters>
  <Lines>20</Lines>
  <Paragraphs>5</Paragraphs>
  <TotalTime>247</TotalTime>
  <ScaleCrop>false</ScaleCrop>
  <LinksUpToDate>false</LinksUpToDate>
  <CharactersWithSpaces>3426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2022-07-14T08:40:00Z</dcterms:created>
  <dc:creator>高立朝 10.104.97.45</dc:creator>
  <cp:lastModifiedBy>greatwall</cp:lastModifiedBy>
  <cp:lastPrinted>2021-02-24T06:40:00Z</cp:lastPrinted>
  <dcterms:modified xsi:type="dcterms:W3CDTF">2023-10-07T17:07:59Z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6BBBA472AD804D30BC6D78518BE27158</vt:lpwstr>
  </property>
</Properties>
</file>