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val="0"/>
        <w:spacing w:before="0" w:beforeAutospacing="0" w:after="312"/>
        <w:ind w:firstLine="4417" w:firstLineChars="1000"/>
        <w:jc w:val="both"/>
        <w:textAlignment w:val="baseline"/>
        <w:rPr>
          <w:rFonts w:ascii="方正小标宋_GBK" w:eastAsia="方正小标宋_GBK" w:cs="宋体" w:hAnsiTheme="minorHAnsi"/>
          <w:b/>
          <w:bCs/>
          <w:kern w:val="2"/>
          <w:sz w:val="44"/>
          <w:szCs w:val="44"/>
          <w:shd w:val="clear" w:color="auto" w:fill="FFFFFF"/>
        </w:rPr>
      </w:pPr>
      <w:r>
        <w:rPr>
          <w:rFonts w:hint="eastAsia" w:ascii="方正小标宋_GBK" w:eastAsia="方正小标宋_GBK" w:cs="宋体" w:hAnsiTheme="minorHAnsi"/>
          <w:b/>
          <w:bCs/>
          <w:kern w:val="2"/>
          <w:sz w:val="44"/>
          <w:szCs w:val="44"/>
          <w:shd w:val="clear" w:color="auto" w:fill="FFFFFF"/>
        </w:rPr>
        <w:t>2021年度</w:t>
      </w:r>
    </w:p>
    <w:p>
      <w:pPr>
        <w:pStyle w:val="5"/>
        <w:widowControl w:val="0"/>
        <w:spacing w:before="0" w:beforeAutospacing="0" w:after="312"/>
        <w:jc w:val="center"/>
        <w:textAlignment w:val="baseline"/>
        <w:rPr>
          <w:sz w:val="84"/>
          <w:szCs w:val="84"/>
        </w:rPr>
      </w:pPr>
      <w:r>
        <w:rPr>
          <w:rFonts w:hint="eastAsia" w:ascii="方正小标宋_GBK" w:eastAsia="方正小标宋_GBK" w:cs="宋体" w:hAnsiTheme="minorHAnsi"/>
          <w:b/>
          <w:bCs/>
          <w:kern w:val="2"/>
          <w:sz w:val="44"/>
          <w:szCs w:val="44"/>
          <w:shd w:val="clear" w:color="auto" w:fill="FFFFFF"/>
        </w:rPr>
        <w:t>涟源市人民检察院部门决算</w:t>
      </w: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56"/>
          <w:szCs w:val="56"/>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jc w:val="center"/>
        <w:rPr>
          <w:sz w:val="32"/>
          <w:szCs w:val="32"/>
        </w:rPr>
      </w:pPr>
    </w:p>
    <w:p>
      <w:pPr>
        <w:pStyle w:val="11"/>
        <w:spacing w:line="540" w:lineRule="exact"/>
        <w:jc w:val="center"/>
        <w:rPr>
          <w:sz w:val="56"/>
          <w:szCs w:val="56"/>
        </w:rPr>
      </w:pPr>
    </w:p>
    <w:p>
      <w:pPr>
        <w:pStyle w:val="11"/>
        <w:spacing w:line="540" w:lineRule="exact"/>
        <w:jc w:val="center"/>
        <w:rPr>
          <w:sz w:val="56"/>
          <w:szCs w:val="56"/>
        </w:rPr>
      </w:pPr>
    </w:p>
    <w:p>
      <w:pPr>
        <w:pStyle w:val="11"/>
        <w:spacing w:line="540" w:lineRule="exact"/>
        <w:jc w:val="center"/>
        <w:rPr>
          <w:sz w:val="56"/>
          <w:szCs w:val="56"/>
        </w:rPr>
      </w:pPr>
    </w:p>
    <w:p>
      <w:pPr>
        <w:pStyle w:val="11"/>
        <w:spacing w:line="540" w:lineRule="exact"/>
        <w:jc w:val="center"/>
        <w:rPr>
          <w:sz w:val="56"/>
          <w:szCs w:val="56"/>
        </w:rPr>
      </w:pPr>
    </w:p>
    <w:p>
      <w:pPr>
        <w:pStyle w:val="11"/>
        <w:spacing w:line="540" w:lineRule="exact"/>
        <w:jc w:val="center"/>
        <w:rPr>
          <w:sz w:val="56"/>
          <w:szCs w:val="56"/>
        </w:rPr>
      </w:pPr>
    </w:p>
    <w:p>
      <w:pPr>
        <w:pStyle w:val="11"/>
        <w:spacing w:line="540" w:lineRule="exact"/>
        <w:jc w:val="center"/>
        <w:rPr>
          <w:sz w:val="56"/>
          <w:szCs w:val="56"/>
        </w:rPr>
      </w:pPr>
    </w:p>
    <w:p>
      <w:pPr>
        <w:pStyle w:val="11"/>
        <w:spacing w:line="540" w:lineRule="exact"/>
        <w:jc w:val="center"/>
        <w:rPr>
          <w:sz w:val="56"/>
          <w:szCs w:val="56"/>
        </w:rPr>
      </w:pPr>
    </w:p>
    <w:p>
      <w:pPr>
        <w:pStyle w:val="11"/>
        <w:spacing w:line="540" w:lineRule="exact"/>
        <w:jc w:val="center"/>
        <w:rPr>
          <w:sz w:val="56"/>
          <w:szCs w:val="56"/>
        </w:rPr>
      </w:pPr>
    </w:p>
    <w:p>
      <w:pPr>
        <w:pStyle w:val="11"/>
        <w:spacing w:line="540" w:lineRule="exact"/>
        <w:jc w:val="center"/>
        <w:rPr>
          <w:sz w:val="56"/>
          <w:szCs w:val="56"/>
        </w:rPr>
      </w:pPr>
    </w:p>
    <w:p>
      <w:pPr>
        <w:pStyle w:val="11"/>
        <w:spacing w:line="500" w:lineRule="exact"/>
        <w:jc w:val="center"/>
        <w:rPr>
          <w:b/>
          <w:sz w:val="36"/>
          <w:szCs w:val="28"/>
        </w:rPr>
      </w:pPr>
    </w:p>
    <w:p>
      <w:pPr>
        <w:pStyle w:val="11"/>
        <w:spacing w:line="500" w:lineRule="exact"/>
        <w:jc w:val="center"/>
        <w:rPr>
          <w:b/>
          <w:sz w:val="36"/>
          <w:szCs w:val="28"/>
        </w:rPr>
      </w:pPr>
    </w:p>
    <w:p>
      <w:pPr>
        <w:pStyle w:val="11"/>
        <w:snapToGrid w:val="0"/>
        <w:spacing w:line="580" w:lineRule="exact"/>
        <w:jc w:val="center"/>
        <w:textAlignment w:val="baseline"/>
        <w:rPr>
          <w:sz w:val="36"/>
          <w:szCs w:val="28"/>
        </w:rPr>
      </w:pPr>
      <w:r>
        <w:rPr>
          <w:rFonts w:hint="eastAsia"/>
          <w:sz w:val="36"/>
          <w:szCs w:val="28"/>
        </w:rPr>
        <w:t>目录</w:t>
      </w:r>
    </w:p>
    <w:p>
      <w:pPr>
        <w:pStyle w:val="11"/>
        <w:snapToGrid w:val="0"/>
        <w:spacing w:line="580" w:lineRule="exact"/>
        <w:ind w:firstLine="560" w:firstLineChars="200"/>
        <w:jc w:val="both"/>
        <w:textAlignment w:val="baseline"/>
        <w:rPr>
          <w:sz w:val="28"/>
          <w:szCs w:val="28"/>
        </w:rPr>
      </w:pPr>
      <w:r>
        <w:rPr>
          <w:rFonts w:hint="eastAsia"/>
          <w:sz w:val="28"/>
          <w:szCs w:val="28"/>
        </w:rPr>
        <w:t>第一部分涟源市人民检察院单位概况</w:t>
      </w:r>
    </w:p>
    <w:p>
      <w:pPr>
        <w:pStyle w:val="11"/>
        <w:snapToGrid w:val="0"/>
        <w:spacing w:line="580" w:lineRule="exact"/>
        <w:ind w:firstLine="560" w:firstLineChars="200"/>
        <w:jc w:val="both"/>
        <w:textAlignment w:val="baseline"/>
        <w:rPr>
          <w:rFonts w:ascii="仿宋_GB2312" w:eastAsia="仿宋_GB2312" w:cs="仿宋_GB2312"/>
          <w:sz w:val="28"/>
          <w:szCs w:val="28"/>
        </w:rPr>
      </w:pPr>
      <w:r>
        <w:rPr>
          <w:rFonts w:hint="eastAsia" w:ascii="仿宋_GB2312" w:eastAsia="仿宋_GB2312" w:cs="仿宋_GB2312"/>
          <w:sz w:val="28"/>
          <w:szCs w:val="28"/>
        </w:rPr>
        <w:t>一、部门职责</w:t>
      </w:r>
    </w:p>
    <w:p>
      <w:pPr>
        <w:pStyle w:val="11"/>
        <w:snapToGrid w:val="0"/>
        <w:spacing w:line="580" w:lineRule="exact"/>
        <w:ind w:firstLine="560" w:firstLineChars="200"/>
        <w:jc w:val="both"/>
        <w:textAlignment w:val="baseline"/>
        <w:rPr>
          <w:rFonts w:ascii="仿宋_GB2312" w:eastAsia="仿宋_GB2312" w:cs="仿宋_GB2312"/>
          <w:sz w:val="28"/>
          <w:szCs w:val="28"/>
        </w:rPr>
      </w:pPr>
      <w:r>
        <w:rPr>
          <w:rFonts w:hint="eastAsia" w:ascii="仿宋_GB2312" w:eastAsia="仿宋_GB2312" w:cs="仿宋_GB2312"/>
          <w:sz w:val="28"/>
          <w:szCs w:val="28"/>
        </w:rPr>
        <w:t>二、机构设置</w:t>
      </w:r>
    </w:p>
    <w:p>
      <w:pPr>
        <w:pStyle w:val="11"/>
        <w:snapToGrid w:val="0"/>
        <w:spacing w:line="580" w:lineRule="exact"/>
        <w:ind w:firstLine="560" w:firstLineChars="200"/>
        <w:jc w:val="both"/>
        <w:textAlignment w:val="baseline"/>
        <w:rPr>
          <w:sz w:val="28"/>
          <w:szCs w:val="28"/>
        </w:rPr>
      </w:pPr>
      <w:r>
        <w:rPr>
          <w:rFonts w:hint="eastAsia"/>
          <w:sz w:val="28"/>
          <w:szCs w:val="28"/>
        </w:rPr>
        <w:t>第二部分2021年度部门决算表</w:t>
      </w:r>
    </w:p>
    <w:p>
      <w:pPr>
        <w:pStyle w:val="11"/>
        <w:snapToGrid w:val="0"/>
        <w:spacing w:line="580" w:lineRule="exact"/>
        <w:ind w:firstLine="560" w:firstLineChars="200"/>
        <w:jc w:val="both"/>
        <w:textAlignment w:val="baseline"/>
        <w:rPr>
          <w:rFonts w:ascii="仿宋_GB2312" w:eastAsia="仿宋_GB2312" w:cs="仿宋_GB2312"/>
          <w:sz w:val="28"/>
          <w:szCs w:val="28"/>
        </w:rPr>
      </w:pPr>
      <w:r>
        <w:rPr>
          <w:rFonts w:hint="eastAsia" w:ascii="仿宋_GB2312" w:eastAsia="仿宋_GB2312" w:cs="仿宋_GB2312"/>
          <w:sz w:val="28"/>
          <w:szCs w:val="28"/>
        </w:rPr>
        <w:t>一、收入支出决算总表</w:t>
      </w:r>
    </w:p>
    <w:p>
      <w:pPr>
        <w:pStyle w:val="11"/>
        <w:snapToGrid w:val="0"/>
        <w:spacing w:line="580" w:lineRule="exact"/>
        <w:ind w:firstLine="560" w:firstLineChars="200"/>
        <w:jc w:val="both"/>
        <w:textAlignment w:val="baseline"/>
        <w:rPr>
          <w:rFonts w:ascii="仿宋_GB2312" w:eastAsia="仿宋_GB2312" w:cs="仿宋_GB2312"/>
          <w:sz w:val="28"/>
          <w:szCs w:val="28"/>
        </w:rPr>
      </w:pPr>
      <w:r>
        <w:rPr>
          <w:rFonts w:hint="eastAsia" w:ascii="仿宋_GB2312" w:eastAsia="仿宋_GB2312" w:cs="仿宋_GB2312"/>
          <w:sz w:val="28"/>
          <w:szCs w:val="28"/>
        </w:rPr>
        <w:t>二、收入决算表</w:t>
      </w:r>
    </w:p>
    <w:p>
      <w:pPr>
        <w:pStyle w:val="11"/>
        <w:snapToGrid w:val="0"/>
        <w:spacing w:line="580" w:lineRule="exact"/>
        <w:ind w:firstLine="560" w:firstLineChars="200"/>
        <w:jc w:val="both"/>
        <w:textAlignment w:val="baseline"/>
        <w:rPr>
          <w:rFonts w:ascii="仿宋_GB2312" w:eastAsia="仿宋_GB2312" w:cs="仿宋_GB2312"/>
          <w:sz w:val="28"/>
          <w:szCs w:val="28"/>
        </w:rPr>
      </w:pPr>
      <w:r>
        <w:rPr>
          <w:rFonts w:hint="eastAsia" w:ascii="仿宋_GB2312" w:eastAsia="仿宋_GB2312" w:cs="仿宋_GB2312"/>
          <w:sz w:val="28"/>
          <w:szCs w:val="28"/>
        </w:rPr>
        <w:t>三、支出决算表</w:t>
      </w:r>
    </w:p>
    <w:p>
      <w:pPr>
        <w:pStyle w:val="11"/>
        <w:snapToGrid w:val="0"/>
        <w:spacing w:line="580" w:lineRule="exact"/>
        <w:ind w:firstLine="560" w:firstLineChars="200"/>
        <w:jc w:val="both"/>
        <w:textAlignment w:val="baseline"/>
        <w:rPr>
          <w:rFonts w:ascii="仿宋_GB2312" w:eastAsia="仿宋_GB2312" w:cs="仿宋_GB2312"/>
          <w:sz w:val="28"/>
          <w:szCs w:val="28"/>
        </w:rPr>
      </w:pPr>
      <w:r>
        <w:rPr>
          <w:rFonts w:hint="eastAsia" w:ascii="仿宋_GB2312" w:eastAsia="仿宋_GB2312" w:cs="仿宋_GB2312"/>
          <w:sz w:val="28"/>
          <w:szCs w:val="28"/>
        </w:rPr>
        <w:t>四、财政拨款收入支出决算总表</w:t>
      </w:r>
    </w:p>
    <w:p>
      <w:pPr>
        <w:pStyle w:val="11"/>
        <w:snapToGrid w:val="0"/>
        <w:spacing w:line="580" w:lineRule="exact"/>
        <w:ind w:firstLine="560" w:firstLineChars="200"/>
        <w:jc w:val="both"/>
        <w:textAlignment w:val="baseline"/>
        <w:rPr>
          <w:rFonts w:ascii="仿宋_GB2312" w:eastAsia="仿宋_GB2312" w:cs="仿宋_GB2312"/>
          <w:sz w:val="28"/>
          <w:szCs w:val="28"/>
        </w:rPr>
      </w:pPr>
      <w:r>
        <w:rPr>
          <w:rFonts w:hint="eastAsia" w:ascii="仿宋_GB2312" w:eastAsia="仿宋_GB2312" w:cs="仿宋_GB2312"/>
          <w:sz w:val="28"/>
          <w:szCs w:val="28"/>
        </w:rPr>
        <w:t>五、一般公共预算财政拨款支出决算表</w:t>
      </w:r>
    </w:p>
    <w:p>
      <w:pPr>
        <w:pStyle w:val="11"/>
        <w:snapToGrid w:val="0"/>
        <w:spacing w:line="580" w:lineRule="exact"/>
        <w:ind w:firstLine="560" w:firstLineChars="200"/>
        <w:jc w:val="both"/>
        <w:textAlignment w:val="baseline"/>
        <w:rPr>
          <w:rFonts w:ascii="仿宋_GB2312" w:eastAsia="仿宋_GB2312" w:cs="仿宋_GB2312"/>
          <w:sz w:val="28"/>
          <w:szCs w:val="28"/>
        </w:rPr>
      </w:pPr>
      <w:r>
        <w:rPr>
          <w:rFonts w:hint="eastAsia" w:ascii="仿宋_GB2312" w:eastAsia="仿宋_GB2312" w:cs="仿宋_GB2312"/>
          <w:sz w:val="28"/>
          <w:szCs w:val="28"/>
        </w:rPr>
        <w:t>六、一般公共预算财政拨款基本支出决算明细表</w:t>
      </w:r>
    </w:p>
    <w:p>
      <w:pPr>
        <w:pStyle w:val="11"/>
        <w:snapToGrid w:val="0"/>
        <w:spacing w:line="580" w:lineRule="exact"/>
        <w:ind w:firstLine="560" w:firstLineChars="200"/>
        <w:jc w:val="both"/>
        <w:textAlignment w:val="baseline"/>
        <w:rPr>
          <w:rFonts w:ascii="仿宋_GB2312" w:eastAsia="仿宋_GB2312" w:cs="仿宋_GB2312"/>
          <w:sz w:val="28"/>
          <w:szCs w:val="28"/>
        </w:rPr>
      </w:pPr>
      <w:r>
        <w:rPr>
          <w:rFonts w:hint="eastAsia" w:ascii="仿宋_GB2312" w:eastAsia="仿宋_GB2312" w:cs="仿宋_GB2312"/>
          <w:sz w:val="28"/>
          <w:szCs w:val="28"/>
        </w:rPr>
        <w:t>七、一般公共预算财政拨款“三公”经费支出决算表</w:t>
      </w:r>
    </w:p>
    <w:p>
      <w:pPr>
        <w:pStyle w:val="11"/>
        <w:snapToGrid w:val="0"/>
        <w:spacing w:line="580" w:lineRule="exact"/>
        <w:ind w:firstLine="560" w:firstLineChars="200"/>
        <w:jc w:val="both"/>
        <w:textAlignment w:val="baseline"/>
        <w:rPr>
          <w:rFonts w:ascii="仿宋_GB2312" w:eastAsia="仿宋_GB2312" w:cs="仿宋_GB2312"/>
          <w:sz w:val="28"/>
          <w:szCs w:val="28"/>
        </w:rPr>
      </w:pPr>
      <w:r>
        <w:rPr>
          <w:rFonts w:hint="eastAsia" w:ascii="仿宋_GB2312" w:eastAsia="仿宋_GB2312" w:cs="仿宋_GB2312"/>
          <w:sz w:val="28"/>
          <w:szCs w:val="28"/>
        </w:rPr>
        <w:t>八、政府性基金预算财政拨款收入支出决算表</w:t>
      </w:r>
    </w:p>
    <w:p>
      <w:pPr>
        <w:pStyle w:val="11"/>
        <w:snapToGrid w:val="0"/>
        <w:spacing w:line="580" w:lineRule="exact"/>
        <w:ind w:firstLine="560" w:firstLineChars="200"/>
        <w:jc w:val="both"/>
        <w:textAlignment w:val="baseline"/>
        <w:rPr>
          <w:rFonts w:ascii="仿宋_GB2312" w:eastAsia="仿宋_GB2312" w:cs="仿宋_GB2312"/>
          <w:sz w:val="28"/>
          <w:szCs w:val="28"/>
        </w:rPr>
      </w:pPr>
      <w:r>
        <w:rPr>
          <w:rFonts w:hint="eastAsia" w:ascii="仿宋_GB2312" w:eastAsia="仿宋_GB2312" w:cs="仿宋_GB2312"/>
          <w:sz w:val="28"/>
          <w:szCs w:val="28"/>
        </w:rPr>
        <w:t>九、国有资本经营预算财政拨款支出决算表</w:t>
      </w:r>
    </w:p>
    <w:p>
      <w:pPr>
        <w:pStyle w:val="11"/>
        <w:snapToGrid w:val="0"/>
        <w:spacing w:line="580" w:lineRule="exact"/>
        <w:ind w:firstLine="560" w:firstLineChars="200"/>
        <w:jc w:val="both"/>
        <w:textAlignment w:val="baseline"/>
        <w:rPr>
          <w:sz w:val="28"/>
          <w:szCs w:val="28"/>
        </w:rPr>
      </w:pPr>
      <w:r>
        <w:rPr>
          <w:rFonts w:hint="eastAsia"/>
          <w:sz w:val="28"/>
          <w:szCs w:val="28"/>
        </w:rPr>
        <w:t>第三部分2021年度部门决算情况说明</w:t>
      </w:r>
    </w:p>
    <w:p>
      <w:pPr>
        <w:pStyle w:val="11"/>
        <w:snapToGrid w:val="0"/>
        <w:spacing w:line="580" w:lineRule="exact"/>
        <w:ind w:firstLine="560" w:firstLineChars="200"/>
        <w:jc w:val="both"/>
        <w:textAlignment w:val="baseline"/>
        <w:rPr>
          <w:rFonts w:ascii="仿宋_GB2312" w:eastAsia="仿宋_GB2312" w:cs="仿宋_GB2312"/>
          <w:sz w:val="28"/>
          <w:szCs w:val="28"/>
        </w:rPr>
      </w:pPr>
      <w:r>
        <w:rPr>
          <w:rFonts w:hint="eastAsia" w:ascii="仿宋_GB2312" w:eastAsia="仿宋_GB2312" w:cs="仿宋_GB2312"/>
          <w:sz w:val="28"/>
          <w:szCs w:val="28"/>
        </w:rPr>
        <w:t>一、收入支出决算总体情况说明</w:t>
      </w:r>
    </w:p>
    <w:p>
      <w:pPr>
        <w:pStyle w:val="11"/>
        <w:snapToGrid w:val="0"/>
        <w:spacing w:line="580" w:lineRule="exact"/>
        <w:ind w:firstLine="560" w:firstLineChars="200"/>
        <w:jc w:val="both"/>
        <w:textAlignment w:val="baseline"/>
        <w:rPr>
          <w:rFonts w:ascii="仿宋_GB2312" w:eastAsia="仿宋_GB2312" w:cs="仿宋_GB2312"/>
          <w:sz w:val="28"/>
          <w:szCs w:val="28"/>
        </w:rPr>
      </w:pPr>
      <w:r>
        <w:rPr>
          <w:rFonts w:hint="eastAsia" w:ascii="仿宋_GB2312" w:eastAsia="仿宋_GB2312" w:cs="仿宋_GB2312"/>
          <w:sz w:val="28"/>
          <w:szCs w:val="28"/>
        </w:rPr>
        <w:t>二、收入决算情况说明</w:t>
      </w:r>
    </w:p>
    <w:p>
      <w:pPr>
        <w:pStyle w:val="11"/>
        <w:snapToGrid w:val="0"/>
        <w:spacing w:line="580" w:lineRule="exact"/>
        <w:ind w:firstLine="560" w:firstLineChars="200"/>
        <w:jc w:val="both"/>
        <w:textAlignment w:val="baseline"/>
        <w:rPr>
          <w:rFonts w:ascii="仿宋_GB2312" w:eastAsia="仿宋_GB2312" w:cs="仿宋_GB2312"/>
          <w:sz w:val="28"/>
          <w:szCs w:val="28"/>
        </w:rPr>
      </w:pPr>
      <w:r>
        <w:rPr>
          <w:rFonts w:hint="eastAsia" w:ascii="仿宋_GB2312" w:eastAsia="仿宋_GB2312" w:cs="仿宋_GB2312"/>
          <w:sz w:val="28"/>
          <w:szCs w:val="28"/>
        </w:rPr>
        <w:t>三、支出决算情况说明</w:t>
      </w:r>
    </w:p>
    <w:p>
      <w:pPr>
        <w:pStyle w:val="11"/>
        <w:snapToGrid w:val="0"/>
        <w:spacing w:line="580" w:lineRule="exact"/>
        <w:ind w:firstLine="560" w:firstLineChars="200"/>
        <w:jc w:val="both"/>
        <w:textAlignment w:val="baseline"/>
        <w:rPr>
          <w:rFonts w:ascii="仿宋_GB2312" w:eastAsia="仿宋_GB2312" w:cs="仿宋_GB2312"/>
          <w:sz w:val="28"/>
          <w:szCs w:val="28"/>
        </w:rPr>
      </w:pPr>
      <w:r>
        <w:rPr>
          <w:rFonts w:hint="eastAsia" w:ascii="仿宋_GB2312" w:eastAsia="仿宋_GB2312" w:cs="仿宋_GB2312"/>
          <w:sz w:val="28"/>
          <w:szCs w:val="28"/>
        </w:rPr>
        <w:t>四、财政拨款收入支出决算总体情况说明</w:t>
      </w:r>
    </w:p>
    <w:p>
      <w:pPr>
        <w:pStyle w:val="11"/>
        <w:snapToGrid w:val="0"/>
        <w:spacing w:line="580" w:lineRule="exact"/>
        <w:ind w:firstLine="560" w:firstLineChars="200"/>
        <w:jc w:val="both"/>
        <w:textAlignment w:val="baseline"/>
        <w:rPr>
          <w:rFonts w:ascii="仿宋_GB2312" w:eastAsia="仿宋_GB2312" w:cs="仿宋_GB2312"/>
          <w:sz w:val="28"/>
          <w:szCs w:val="28"/>
        </w:rPr>
      </w:pPr>
      <w:r>
        <w:rPr>
          <w:rFonts w:hint="eastAsia" w:ascii="仿宋_GB2312" w:eastAsia="仿宋_GB2312" w:cs="仿宋_GB2312"/>
          <w:sz w:val="28"/>
          <w:szCs w:val="28"/>
        </w:rPr>
        <w:t>五、一般公共预算财政拨款支出决算情况说明</w:t>
      </w:r>
    </w:p>
    <w:p>
      <w:pPr>
        <w:pStyle w:val="11"/>
        <w:snapToGrid w:val="0"/>
        <w:spacing w:line="580" w:lineRule="exact"/>
        <w:ind w:firstLine="560" w:firstLineChars="200"/>
        <w:jc w:val="both"/>
        <w:textAlignment w:val="baseline"/>
        <w:rPr>
          <w:rFonts w:ascii="仿宋_GB2312" w:eastAsia="仿宋_GB2312" w:cs="仿宋_GB2312"/>
          <w:sz w:val="28"/>
          <w:szCs w:val="28"/>
        </w:rPr>
      </w:pPr>
      <w:r>
        <w:rPr>
          <w:rFonts w:hint="eastAsia" w:ascii="仿宋_GB2312" w:eastAsia="仿宋_GB2312" w:cs="仿宋_GB2312"/>
          <w:sz w:val="28"/>
          <w:szCs w:val="28"/>
        </w:rPr>
        <w:t>六、一般公共预算财政拨款基本支出决算情况说明</w:t>
      </w:r>
    </w:p>
    <w:p>
      <w:pPr>
        <w:pStyle w:val="11"/>
        <w:snapToGrid w:val="0"/>
        <w:spacing w:line="580" w:lineRule="exact"/>
        <w:ind w:firstLine="560" w:firstLineChars="200"/>
        <w:jc w:val="both"/>
        <w:textAlignment w:val="baseline"/>
        <w:rPr>
          <w:rFonts w:ascii="仿宋_GB2312" w:eastAsia="仿宋_GB2312" w:cs="仿宋_GB2312"/>
          <w:sz w:val="28"/>
          <w:szCs w:val="28"/>
        </w:rPr>
      </w:pPr>
      <w:r>
        <w:rPr>
          <w:rFonts w:hint="eastAsia" w:ascii="仿宋_GB2312" w:eastAsia="仿宋_GB2312" w:cs="仿宋_GB2312"/>
          <w:sz w:val="28"/>
          <w:szCs w:val="28"/>
        </w:rPr>
        <w:t>七、一般公共预算财政拨款“三公”经费支出决算情况说明</w:t>
      </w:r>
    </w:p>
    <w:p>
      <w:pPr>
        <w:pStyle w:val="11"/>
        <w:snapToGrid w:val="0"/>
        <w:spacing w:line="580" w:lineRule="exact"/>
        <w:ind w:firstLine="560" w:firstLineChars="200"/>
        <w:jc w:val="both"/>
        <w:textAlignment w:val="baseline"/>
        <w:rPr>
          <w:rFonts w:ascii="仿宋_GB2312" w:eastAsia="仿宋_GB2312" w:cs="仿宋_GB2312"/>
          <w:sz w:val="28"/>
          <w:szCs w:val="28"/>
        </w:rPr>
      </w:pPr>
      <w:r>
        <w:rPr>
          <w:rFonts w:hint="eastAsia" w:ascii="仿宋_GB2312" w:eastAsia="仿宋_GB2312" w:cs="仿宋_GB2312"/>
          <w:sz w:val="28"/>
          <w:szCs w:val="28"/>
        </w:rPr>
        <w:t>八、政府性基金预算收入支出决算情况</w:t>
      </w:r>
    </w:p>
    <w:p>
      <w:pPr>
        <w:pStyle w:val="11"/>
        <w:snapToGrid w:val="0"/>
        <w:spacing w:line="580" w:lineRule="exact"/>
        <w:ind w:firstLine="560" w:firstLineChars="200"/>
        <w:jc w:val="both"/>
        <w:textAlignment w:val="baseline"/>
        <w:rPr>
          <w:rFonts w:ascii="仿宋_GB2312" w:eastAsia="仿宋_GB2312" w:cs="仿宋_GB2312"/>
          <w:sz w:val="28"/>
          <w:szCs w:val="28"/>
        </w:rPr>
      </w:pPr>
      <w:r>
        <w:rPr>
          <w:rFonts w:hint="eastAsia" w:ascii="仿宋_GB2312" w:eastAsia="仿宋_GB2312" w:cs="仿宋_GB2312"/>
          <w:sz w:val="28"/>
          <w:szCs w:val="28"/>
        </w:rPr>
        <w:t>九、机关运行经费支出说明</w:t>
      </w:r>
    </w:p>
    <w:p>
      <w:pPr>
        <w:pStyle w:val="11"/>
        <w:snapToGrid w:val="0"/>
        <w:spacing w:line="580" w:lineRule="exact"/>
        <w:ind w:firstLine="560" w:firstLineChars="200"/>
        <w:jc w:val="both"/>
        <w:textAlignment w:val="baseline"/>
        <w:rPr>
          <w:rFonts w:ascii="仿宋_GB2312" w:eastAsia="仿宋_GB2312" w:cs="仿宋_GB2312"/>
          <w:sz w:val="28"/>
          <w:szCs w:val="28"/>
        </w:rPr>
      </w:pPr>
      <w:r>
        <w:rPr>
          <w:rFonts w:hint="eastAsia" w:ascii="仿宋_GB2312" w:eastAsia="仿宋_GB2312" w:cs="仿宋_GB2312"/>
          <w:sz w:val="28"/>
          <w:szCs w:val="28"/>
        </w:rPr>
        <w:t>十、一般性支出情况说明</w:t>
      </w:r>
    </w:p>
    <w:p>
      <w:pPr>
        <w:pStyle w:val="11"/>
        <w:snapToGrid w:val="0"/>
        <w:spacing w:line="580" w:lineRule="exact"/>
        <w:ind w:firstLine="560" w:firstLineChars="200"/>
        <w:jc w:val="both"/>
        <w:textAlignment w:val="baseline"/>
        <w:rPr>
          <w:rFonts w:ascii="仿宋_GB2312" w:eastAsia="仿宋_GB2312" w:cs="仿宋_GB2312"/>
          <w:sz w:val="28"/>
          <w:szCs w:val="28"/>
        </w:rPr>
      </w:pPr>
      <w:r>
        <w:rPr>
          <w:rFonts w:hint="eastAsia" w:ascii="仿宋_GB2312" w:eastAsia="仿宋_GB2312" w:cs="仿宋_GB2312"/>
          <w:sz w:val="28"/>
          <w:szCs w:val="28"/>
        </w:rPr>
        <w:t>十一、政府采购支出说明</w:t>
      </w:r>
    </w:p>
    <w:p>
      <w:pPr>
        <w:pStyle w:val="11"/>
        <w:snapToGrid w:val="0"/>
        <w:spacing w:line="580" w:lineRule="exact"/>
        <w:ind w:firstLine="560" w:firstLineChars="200"/>
        <w:jc w:val="both"/>
        <w:textAlignment w:val="baseline"/>
        <w:rPr>
          <w:rFonts w:ascii="仿宋_GB2312" w:eastAsia="仿宋_GB2312" w:cs="仿宋_GB2312"/>
          <w:sz w:val="28"/>
          <w:szCs w:val="28"/>
        </w:rPr>
      </w:pPr>
      <w:r>
        <w:rPr>
          <w:rFonts w:hint="eastAsia" w:ascii="仿宋_GB2312" w:eastAsia="仿宋_GB2312" w:cs="仿宋_GB2312"/>
          <w:sz w:val="28"/>
          <w:szCs w:val="28"/>
        </w:rPr>
        <w:t>十二、国有资产占用情况说明</w:t>
      </w:r>
    </w:p>
    <w:p>
      <w:pPr>
        <w:pStyle w:val="11"/>
        <w:snapToGrid w:val="0"/>
        <w:spacing w:line="580" w:lineRule="exact"/>
        <w:ind w:firstLine="560" w:firstLineChars="200"/>
        <w:jc w:val="both"/>
        <w:textAlignment w:val="baseline"/>
        <w:rPr>
          <w:rFonts w:ascii="仿宋_GB2312" w:eastAsia="仿宋_GB2312" w:cs="仿宋_GB2312"/>
          <w:sz w:val="28"/>
          <w:szCs w:val="28"/>
        </w:rPr>
      </w:pPr>
      <w:r>
        <w:rPr>
          <w:rFonts w:hint="eastAsia" w:ascii="仿宋_GB2312" w:eastAsia="仿宋_GB2312" w:cs="仿宋_GB2312"/>
          <w:sz w:val="28"/>
          <w:szCs w:val="28"/>
        </w:rPr>
        <w:t>十三、2021年度预算绩效情况说明</w:t>
      </w:r>
    </w:p>
    <w:p>
      <w:pPr>
        <w:pStyle w:val="11"/>
        <w:snapToGrid w:val="0"/>
        <w:spacing w:line="580" w:lineRule="exact"/>
        <w:ind w:firstLine="560" w:firstLineChars="200"/>
        <w:jc w:val="both"/>
        <w:textAlignment w:val="baseline"/>
        <w:rPr>
          <w:sz w:val="28"/>
          <w:szCs w:val="28"/>
        </w:rPr>
      </w:pPr>
      <w:r>
        <w:rPr>
          <w:rFonts w:hint="eastAsia"/>
          <w:sz w:val="28"/>
          <w:szCs w:val="28"/>
        </w:rPr>
        <w:t>第四部分名词解释</w:t>
      </w:r>
    </w:p>
    <w:p>
      <w:pPr>
        <w:pStyle w:val="11"/>
        <w:snapToGrid w:val="0"/>
        <w:spacing w:line="580" w:lineRule="exact"/>
        <w:ind w:firstLine="560" w:firstLineChars="200"/>
        <w:jc w:val="both"/>
        <w:textAlignment w:val="baseline"/>
        <w:rPr>
          <w:sz w:val="28"/>
          <w:szCs w:val="28"/>
        </w:rPr>
      </w:pPr>
      <w:r>
        <w:rPr>
          <w:rFonts w:hint="eastAsia"/>
          <w:sz w:val="28"/>
          <w:szCs w:val="28"/>
        </w:rPr>
        <w:t>第五部分附件</w:t>
      </w:r>
    </w:p>
    <w:p>
      <w:pPr>
        <w:jc w:val="center"/>
        <w:rPr>
          <w:sz w:val="72"/>
          <w:szCs w:val="72"/>
        </w:rPr>
      </w:pPr>
    </w:p>
    <w:p>
      <w:pPr>
        <w:jc w:val="center"/>
        <w:rPr>
          <w:sz w:val="72"/>
          <w:szCs w:val="72"/>
        </w:rPr>
      </w:pPr>
    </w:p>
    <w:p>
      <w:pPr>
        <w:jc w:val="center"/>
        <w:rPr>
          <w:sz w:val="72"/>
          <w:szCs w:val="72"/>
        </w:rPr>
      </w:pPr>
    </w:p>
    <w:p>
      <w:pPr>
        <w:jc w:val="cente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rPr>
          <w:sz w:val="72"/>
          <w:szCs w:val="72"/>
        </w:rPr>
      </w:pPr>
    </w:p>
    <w:p>
      <w:pPr>
        <w:pStyle w:val="11"/>
        <w:numPr>
          <w:ilvl w:val="0"/>
          <w:numId w:val="1"/>
        </w:numPr>
        <w:jc w:val="center"/>
        <w:rPr>
          <w:rFonts w:ascii="方正小标宋_GBK" w:hAnsi="黑体" w:eastAsia="方正小标宋_GBK"/>
          <w:color w:val="auto"/>
          <w:kern w:val="2"/>
          <w:sz w:val="44"/>
          <w:szCs w:val="44"/>
          <w:shd w:val="clear" w:color="auto" w:fill="FFFFFF"/>
        </w:rPr>
      </w:pPr>
      <w:r>
        <w:rPr>
          <w:rFonts w:hint="eastAsia" w:ascii="方正小标宋_GBK" w:hAnsi="黑体" w:eastAsia="方正小标宋_GBK"/>
          <w:color w:val="auto"/>
          <w:kern w:val="2"/>
          <w:sz w:val="44"/>
          <w:szCs w:val="44"/>
          <w:shd w:val="clear" w:color="auto" w:fill="FFFFFF"/>
        </w:rPr>
        <w:t>涟源市人民检察院单位概况</w:t>
      </w:r>
    </w:p>
    <w:p>
      <w:pPr>
        <w:pStyle w:val="11"/>
        <w:jc w:val="both"/>
        <w:rPr>
          <w:rFonts w:ascii="方正小标宋_GBK" w:hAnsi="黑体" w:eastAsia="方正小标宋_GBK"/>
          <w:color w:val="auto"/>
          <w:kern w:val="2"/>
          <w:sz w:val="44"/>
          <w:szCs w:val="44"/>
          <w:shd w:val="clear" w:color="auto" w:fill="FFFFFF"/>
        </w:rPr>
      </w:pPr>
      <w:r>
        <w:rPr>
          <w:rFonts w:hint="eastAsia" w:ascii="方正小标宋_GBK" w:hAnsi="黑体" w:eastAsia="方正小标宋_GBK"/>
          <w:color w:val="auto"/>
          <w:kern w:val="2"/>
          <w:sz w:val="44"/>
          <w:szCs w:val="44"/>
          <w:shd w:val="clear" w:color="auto" w:fill="FFFFFF"/>
        </w:rPr>
        <w:t xml:space="preserve">                         </w:t>
      </w:r>
    </w:p>
    <w:p>
      <w:pPr>
        <w:pStyle w:val="5"/>
        <w:snapToGrid w:val="0"/>
        <w:spacing w:before="0" w:beforeAutospacing="0" w:after="0" w:afterAutospacing="0" w:line="560" w:lineRule="exact"/>
        <w:ind w:left="420" w:leftChars="200"/>
        <w:jc w:val="both"/>
        <w:textAlignment w:val="baseline"/>
        <w:rPr>
          <w:rFonts w:ascii="黑体" w:hAnsi="黑体" w:eastAsia="黑体" w:cs="楷体"/>
          <w:kern w:val="2"/>
          <w:sz w:val="32"/>
          <w:szCs w:val="32"/>
          <w:shd w:val="clear" w:color="auto" w:fill="FFFFFF"/>
        </w:rPr>
      </w:pPr>
      <w:bookmarkStart w:id="0" w:name="_Toc4526"/>
      <w:bookmarkStart w:id="1" w:name="_Toc26770"/>
      <w:r>
        <w:rPr>
          <w:rFonts w:hint="eastAsia" w:ascii="楷体_GB2312" w:hAnsi="楷体" w:eastAsia="楷体_GB2312" w:cs="楷体"/>
          <w:sz w:val="32"/>
          <w:szCs w:val="32"/>
          <w:shd w:val="clear" w:color="auto" w:fill="FFFFFF"/>
        </w:rPr>
        <w:t xml:space="preserve">  </w:t>
      </w:r>
      <w:r>
        <w:rPr>
          <w:rFonts w:hint="eastAsia" w:ascii="黑体" w:hAnsi="黑体" w:eastAsia="黑体" w:cs="楷体"/>
          <w:sz w:val="32"/>
          <w:szCs w:val="32"/>
          <w:shd w:val="clear" w:color="auto" w:fill="FFFFFF"/>
        </w:rPr>
        <w:t>一、部门职责</w:t>
      </w:r>
      <w:bookmarkEnd w:id="0"/>
      <w:bookmarkEnd w:id="1"/>
    </w:p>
    <w:p>
      <w:pPr>
        <w:ind w:firstLine="630"/>
        <w:textAlignment w:val="baseline"/>
        <w:rPr>
          <w:rFonts w:ascii="仿宋_GB2312" w:eastAsia="仿宋_GB2312"/>
          <w:sz w:val="32"/>
          <w:szCs w:val="32"/>
        </w:rPr>
      </w:pPr>
      <w:r>
        <w:rPr>
          <w:rFonts w:hint="eastAsia" w:ascii="仿宋_GB2312" w:eastAsia="仿宋_GB2312"/>
          <w:sz w:val="32"/>
          <w:szCs w:val="32"/>
        </w:rPr>
        <w:t>根据《宪法》和《人民检察院组织法》规定，涟源市人民检察院作为法律监督机关，对上级人民检察院和涟源市人大负责，受涟源市人大及其常委会监督并报告工作，接受上级检察院和中共涟源市委领导。主要职责有：</w:t>
      </w:r>
    </w:p>
    <w:p>
      <w:pPr>
        <w:ind w:firstLine="630"/>
        <w:textAlignment w:val="baseline"/>
        <w:rPr>
          <w:rFonts w:ascii="仿宋_GB2312" w:eastAsia="仿宋_GB2312"/>
          <w:sz w:val="32"/>
          <w:szCs w:val="32"/>
        </w:rPr>
      </w:pPr>
      <w:r>
        <w:rPr>
          <w:rFonts w:hint="eastAsia" w:ascii="仿宋_GB2312" w:eastAsia="仿宋_GB2312"/>
          <w:sz w:val="32"/>
          <w:szCs w:val="32"/>
        </w:rPr>
        <w:t>1.深入贯彻习近平新时代中国特色社会主义思想，深入贯彻党的路线方针政策和决策部署，统一全市检察机关思想和行动，坚持党对检察工作的绝对领导，坚决维护习近平总书记的核心地位，坚决维护党中央权威和集中统一领导。</w:t>
      </w:r>
    </w:p>
    <w:p>
      <w:pPr>
        <w:ind w:firstLine="630"/>
        <w:textAlignment w:val="baseline"/>
        <w:rPr>
          <w:rFonts w:ascii="仿宋_GB2312" w:eastAsia="仿宋_GB2312"/>
          <w:sz w:val="32"/>
          <w:szCs w:val="32"/>
        </w:rPr>
      </w:pPr>
      <w:r>
        <w:rPr>
          <w:rFonts w:hint="eastAsia" w:ascii="仿宋_GB2312" w:eastAsia="仿宋_GB2312"/>
          <w:sz w:val="32"/>
          <w:szCs w:val="32"/>
        </w:rPr>
        <w:t>2.依照法律规定对由市人民检察院直接受理的刑事案件行使侦查权。</w:t>
      </w:r>
    </w:p>
    <w:p>
      <w:pPr>
        <w:ind w:firstLine="630"/>
        <w:textAlignment w:val="baseline"/>
        <w:rPr>
          <w:rFonts w:ascii="仿宋_GB2312" w:eastAsia="仿宋_GB2312"/>
          <w:sz w:val="32"/>
          <w:szCs w:val="32"/>
        </w:rPr>
      </w:pPr>
      <w:r>
        <w:rPr>
          <w:rFonts w:hint="eastAsia" w:ascii="仿宋_GB2312" w:eastAsia="仿宋_GB2312"/>
          <w:sz w:val="32"/>
          <w:szCs w:val="32"/>
        </w:rPr>
        <w:t>3.对辖区内的重大刑事案件依法审查批准逮捕、决定逮捕、提起公诉，领导全省各级人民检察院开展对刑事犯罪案件的审查批准逮捕、决定逮捕、提起公诉工作。</w:t>
      </w:r>
    </w:p>
    <w:p>
      <w:pPr>
        <w:ind w:firstLine="630"/>
        <w:textAlignment w:val="baseline"/>
        <w:rPr>
          <w:rFonts w:ascii="仿宋_GB2312" w:eastAsia="仿宋_GB2312"/>
          <w:sz w:val="32"/>
          <w:szCs w:val="32"/>
        </w:rPr>
      </w:pPr>
      <w:r>
        <w:rPr>
          <w:rFonts w:hint="eastAsia" w:ascii="仿宋_GB2312" w:eastAsia="仿宋_GB2312"/>
          <w:sz w:val="32"/>
          <w:szCs w:val="32"/>
        </w:rPr>
        <w:t>4.负责应由市人民检察院承办的刑事、民事、行政诉讼活动及刑事、民事、行政判决和裁定等生效法律文书执行的法律监督工作。</w:t>
      </w:r>
    </w:p>
    <w:p>
      <w:pPr>
        <w:ind w:firstLine="630"/>
        <w:textAlignment w:val="baseline"/>
        <w:rPr>
          <w:rFonts w:ascii="仿宋_GB2312" w:eastAsia="仿宋_GB2312"/>
          <w:sz w:val="32"/>
          <w:szCs w:val="32"/>
        </w:rPr>
      </w:pPr>
      <w:r>
        <w:rPr>
          <w:rFonts w:hint="eastAsia" w:ascii="仿宋_GB2312" w:eastAsia="仿宋_GB2312"/>
          <w:sz w:val="32"/>
          <w:szCs w:val="32"/>
        </w:rPr>
        <w:t>5.负责应由市人民检察院承办的提起公益诉讼工作。</w:t>
      </w:r>
    </w:p>
    <w:p>
      <w:pPr>
        <w:ind w:firstLine="630"/>
        <w:textAlignment w:val="baseline"/>
        <w:rPr>
          <w:rFonts w:ascii="仿宋_GB2312" w:eastAsia="仿宋_GB2312"/>
          <w:sz w:val="32"/>
          <w:szCs w:val="32"/>
        </w:rPr>
      </w:pPr>
      <w:r>
        <w:rPr>
          <w:rFonts w:hint="eastAsia" w:ascii="仿宋_GB2312" w:eastAsia="仿宋_GB2312"/>
          <w:sz w:val="32"/>
          <w:szCs w:val="32"/>
        </w:rPr>
        <w:t>6.负责应由市人民检察院承办的对监狱、看守所等执法活动的法律监督工作。</w:t>
      </w:r>
    </w:p>
    <w:p>
      <w:pPr>
        <w:ind w:firstLine="630"/>
        <w:textAlignment w:val="baseline"/>
        <w:rPr>
          <w:rFonts w:ascii="仿宋_GB2312" w:eastAsia="仿宋_GB2312"/>
          <w:sz w:val="32"/>
          <w:szCs w:val="32"/>
        </w:rPr>
      </w:pPr>
      <w:r>
        <w:rPr>
          <w:rFonts w:hint="eastAsia" w:ascii="仿宋_GB2312" w:eastAsia="仿宋_GB2312"/>
          <w:sz w:val="32"/>
          <w:szCs w:val="32"/>
        </w:rPr>
        <w:t>7.受理向市人民检察院的控告申诉。</w:t>
      </w:r>
    </w:p>
    <w:p>
      <w:pPr>
        <w:ind w:firstLine="630"/>
        <w:textAlignment w:val="baseline"/>
        <w:rPr>
          <w:rFonts w:ascii="仿宋_GB2312" w:eastAsia="仿宋_GB2312"/>
          <w:sz w:val="32"/>
          <w:szCs w:val="32"/>
        </w:rPr>
      </w:pPr>
      <w:r>
        <w:rPr>
          <w:rFonts w:hint="eastAsia" w:ascii="仿宋_GB2312" w:eastAsia="仿宋_GB2312"/>
          <w:sz w:val="32"/>
          <w:szCs w:val="32"/>
        </w:rPr>
        <w:t>8.负责市检察机关队伍建设和思想政治工作。13.协同省委主管部门管理和考核全省市、县两级人民检察院的检察长，协同市州党委管理和考核市州人民检察院的副检察长。</w:t>
      </w:r>
    </w:p>
    <w:p>
      <w:pPr>
        <w:ind w:firstLine="630"/>
        <w:textAlignment w:val="baseline"/>
        <w:rPr>
          <w:rFonts w:ascii="仿宋_GB2312" w:eastAsia="仿宋_GB2312"/>
          <w:sz w:val="32"/>
          <w:szCs w:val="32"/>
        </w:rPr>
      </w:pPr>
      <w:r>
        <w:rPr>
          <w:rFonts w:hint="eastAsia" w:ascii="仿宋_GB2312" w:eastAsia="仿宋_GB2312"/>
          <w:sz w:val="32"/>
          <w:szCs w:val="32"/>
        </w:rPr>
        <w:t>10. 负责市检察院的检务督察工作。</w:t>
      </w:r>
    </w:p>
    <w:p>
      <w:pPr>
        <w:ind w:firstLine="630"/>
        <w:textAlignment w:val="baseline"/>
        <w:rPr>
          <w:rFonts w:ascii="仿宋_GB2312" w:eastAsia="仿宋_GB2312"/>
          <w:sz w:val="32"/>
          <w:szCs w:val="32"/>
        </w:rPr>
      </w:pPr>
      <w:r>
        <w:rPr>
          <w:rFonts w:hint="eastAsia" w:ascii="仿宋_GB2312" w:eastAsia="仿宋_GB2312"/>
          <w:sz w:val="32"/>
          <w:szCs w:val="32"/>
        </w:rPr>
        <w:t>11.规划市检察机关的财务装备工作</w:t>
      </w:r>
    </w:p>
    <w:p>
      <w:pPr>
        <w:ind w:firstLine="630"/>
        <w:textAlignment w:val="baseline"/>
        <w:rPr>
          <w:rFonts w:ascii="黑体" w:hAnsi="黑体" w:eastAsia="黑体"/>
          <w:bCs/>
          <w:kern w:val="0"/>
          <w:sz w:val="32"/>
          <w:szCs w:val="32"/>
        </w:rPr>
      </w:pPr>
      <w:r>
        <w:rPr>
          <w:rFonts w:hint="eastAsia" w:ascii="仿宋_GB2312" w:eastAsia="仿宋_GB2312"/>
          <w:sz w:val="32"/>
          <w:szCs w:val="32"/>
        </w:rPr>
        <w:t>12.负责其他应当由负责市人民检察院承办的事项。</w:t>
      </w:r>
    </w:p>
    <w:p>
      <w:pPr>
        <w:pStyle w:val="5"/>
        <w:snapToGrid w:val="0"/>
        <w:spacing w:before="0" w:beforeAutospacing="0" w:after="0" w:afterAutospacing="0" w:line="560" w:lineRule="exact"/>
        <w:ind w:firstLine="640" w:firstLineChars="200"/>
        <w:jc w:val="both"/>
        <w:textAlignment w:val="baseline"/>
        <w:rPr>
          <w:rFonts w:ascii="黑体" w:hAnsi="黑体" w:eastAsia="黑体" w:cs="黑体"/>
          <w:sz w:val="32"/>
          <w:szCs w:val="32"/>
        </w:rPr>
      </w:pPr>
      <w:r>
        <w:rPr>
          <w:rFonts w:hint="eastAsia" w:ascii="黑体" w:hAnsi="黑体" w:eastAsia="黑体" w:cs="楷体"/>
          <w:sz w:val="32"/>
          <w:szCs w:val="32"/>
          <w:shd w:val="clear" w:color="auto" w:fill="FFFFFF"/>
        </w:rPr>
        <w:t>二、机构设置</w:t>
      </w:r>
      <w:r>
        <w:rPr>
          <w:rFonts w:hint="eastAsia" w:ascii="黑体" w:hAnsi="黑体" w:eastAsia="黑体"/>
          <w:bCs/>
          <w:sz w:val="32"/>
          <w:szCs w:val="32"/>
        </w:rPr>
        <w:t>及决算单位构成</w:t>
      </w:r>
    </w:p>
    <w:p>
      <w:pPr>
        <w:pStyle w:val="11"/>
        <w:ind w:firstLine="640" w:firstLineChars="200"/>
        <w:rPr>
          <w:rFonts w:ascii="仿宋_GB2312" w:eastAsia="仿宋_GB2312" w:cstheme="minorBidi"/>
          <w:color w:val="auto"/>
          <w:kern w:val="2"/>
          <w:sz w:val="32"/>
          <w:szCs w:val="32"/>
        </w:rPr>
      </w:pPr>
      <w:r>
        <w:rPr>
          <w:rFonts w:hint="eastAsia" w:ascii="仿宋_GB2312" w:eastAsia="仿宋_GB2312" w:cstheme="minorBidi"/>
          <w:color w:val="auto"/>
          <w:kern w:val="2"/>
          <w:sz w:val="32"/>
          <w:szCs w:val="32"/>
        </w:rPr>
        <w:t>（一）内设机构设置。涟源市人民检察院机关本级现有8个内设机构，分别为：办公室、第一检察部、第二检察部、第三检察部、第四检察部、第五检察部、第六检察部、政治部。</w:t>
      </w:r>
    </w:p>
    <w:p>
      <w:pPr>
        <w:pStyle w:val="11"/>
        <w:ind w:firstLine="640" w:firstLineChars="200"/>
        <w:rPr>
          <w:rFonts w:ascii="仿宋_GB2312" w:eastAsia="仿宋_GB2312" w:cstheme="minorBidi"/>
          <w:color w:val="auto"/>
          <w:kern w:val="2"/>
          <w:sz w:val="32"/>
          <w:szCs w:val="32"/>
        </w:rPr>
      </w:pPr>
      <w:r>
        <w:rPr>
          <w:rFonts w:hint="eastAsia" w:ascii="仿宋_GB2312" w:eastAsia="仿宋_GB2312" w:cstheme="minorBidi"/>
          <w:color w:val="auto"/>
          <w:kern w:val="2"/>
          <w:sz w:val="32"/>
          <w:szCs w:val="32"/>
        </w:rPr>
        <w:t>（二）决算单位构成。涟源市人民检察院2021年部门决算包含的主体范围是机关本级。</w:t>
      </w:r>
    </w:p>
    <w:p>
      <w:pPr>
        <w:pStyle w:val="11"/>
        <w:ind w:firstLine="640" w:firstLineChars="200"/>
        <w:rPr>
          <w:rFonts w:asciiTheme="minorEastAsia" w:hAnsiTheme="minorEastAsia"/>
          <w:bCs/>
          <w:sz w:val="32"/>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sz w:val="72"/>
          <w:szCs w:val="72"/>
        </w:rPr>
      </w:pPr>
    </w:p>
    <w:p>
      <w:pPr>
        <w:rPr>
          <w:sz w:val="72"/>
          <w:szCs w:val="72"/>
        </w:rPr>
      </w:pPr>
    </w:p>
    <w:p>
      <w:pPr>
        <w:pStyle w:val="5"/>
        <w:widowControl w:val="0"/>
        <w:spacing w:before="0" w:beforeAutospacing="0" w:after="312" w:line="600" w:lineRule="exact"/>
        <w:jc w:val="center"/>
        <w:textAlignment w:val="baseline"/>
        <w:rPr>
          <w:rStyle w:val="8"/>
          <w:rFonts w:ascii="方正小标宋_GBK" w:hAnsi="黑体" w:eastAsia="方正小标宋_GBK" w:cs="黑体"/>
          <w:kern w:val="2"/>
          <w:sz w:val="44"/>
          <w:szCs w:val="44"/>
          <w:shd w:val="clear" w:color="auto" w:fill="FFFFFF"/>
        </w:rPr>
      </w:pPr>
      <w:r>
        <w:rPr>
          <w:rStyle w:val="8"/>
          <w:rFonts w:hint="eastAsia" w:ascii="方正小标宋_GBK" w:hAnsi="黑体" w:eastAsia="方正小标宋_GBK" w:cs="黑体"/>
          <w:kern w:val="2"/>
          <w:sz w:val="44"/>
          <w:szCs w:val="44"/>
          <w:shd w:val="clear" w:color="auto" w:fill="FFFFFF"/>
        </w:rPr>
        <w:t>第二部分 部门决算表</w:t>
      </w: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center"/>
        <w:rPr>
          <w:sz w:val="72"/>
          <w:szCs w:val="72"/>
        </w:rPr>
      </w:pPr>
    </w:p>
    <w:p>
      <w:pPr>
        <w:jc w:val="left"/>
        <w:rPr>
          <w:sz w:val="32"/>
          <w:szCs w:val="3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tbl>
      <w:tblPr>
        <w:tblStyle w:val="6"/>
        <w:tblW w:w="14081" w:type="dxa"/>
        <w:tblInd w:w="91" w:type="dxa"/>
        <w:tblLayout w:type="fixed"/>
        <w:tblCellMar>
          <w:top w:w="0" w:type="dxa"/>
          <w:left w:w="108" w:type="dxa"/>
          <w:bottom w:w="0" w:type="dxa"/>
          <w:right w:w="108" w:type="dxa"/>
        </w:tblCellMar>
      </w:tblPr>
      <w:tblGrid>
        <w:gridCol w:w="4124"/>
        <w:gridCol w:w="448"/>
        <w:gridCol w:w="631"/>
        <w:gridCol w:w="697"/>
        <w:gridCol w:w="236"/>
        <w:gridCol w:w="3467"/>
        <w:gridCol w:w="845"/>
        <w:gridCol w:w="1460"/>
        <w:gridCol w:w="657"/>
        <w:gridCol w:w="1516"/>
      </w:tblGrid>
      <w:tr>
        <w:tblPrEx>
          <w:tblCellMar>
            <w:top w:w="0" w:type="dxa"/>
            <w:left w:w="108" w:type="dxa"/>
            <w:bottom w:w="0" w:type="dxa"/>
            <w:right w:w="108" w:type="dxa"/>
          </w:tblCellMar>
        </w:tblPrEx>
        <w:trPr>
          <w:trHeight w:val="624" w:hRule="atLeast"/>
        </w:trPr>
        <w:tc>
          <w:tcPr>
            <w:tcW w:w="14081" w:type="dxa"/>
            <w:gridSpan w:val="10"/>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收入支出决算总表</w:t>
            </w:r>
          </w:p>
        </w:tc>
      </w:tr>
      <w:tr>
        <w:tblPrEx>
          <w:tblCellMar>
            <w:top w:w="0" w:type="dxa"/>
            <w:left w:w="108" w:type="dxa"/>
            <w:bottom w:w="0" w:type="dxa"/>
            <w:right w:w="108" w:type="dxa"/>
          </w:tblCellMar>
        </w:tblPrEx>
        <w:trPr>
          <w:trHeight w:val="624" w:hRule="atLeast"/>
        </w:trPr>
        <w:tc>
          <w:tcPr>
            <w:tcW w:w="5206"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公开01表</w:t>
            </w:r>
          </w:p>
        </w:tc>
      </w:tr>
      <w:tr>
        <w:tblPrEx>
          <w:tblCellMar>
            <w:top w:w="0" w:type="dxa"/>
            <w:left w:w="108" w:type="dxa"/>
            <w:bottom w:w="0" w:type="dxa"/>
            <w:right w:w="108" w:type="dxa"/>
          </w:tblCellMar>
        </w:tblPrEx>
        <w:trPr>
          <w:trHeight w:val="624" w:hRule="atLeast"/>
        </w:trPr>
        <w:tc>
          <w:tcPr>
            <w:tcW w:w="5206"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部门：涟源市人民检察院</w:t>
            </w:r>
          </w:p>
        </w:tc>
        <w:tc>
          <w:tcPr>
            <w:tcW w:w="69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232"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5773" w:type="dxa"/>
            <w:gridSpan w:val="3"/>
            <w:tcBorders>
              <w:top w:val="nil"/>
              <w:left w:val="nil"/>
              <w:bottom w:val="nil"/>
              <w:right w:val="nil"/>
            </w:tcBorders>
            <w:shd w:val="clear" w:color="000000" w:fill="FFFFFF"/>
            <w:noWrap/>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2021年度　</w:t>
            </w:r>
          </w:p>
        </w:tc>
        <w:tc>
          <w:tcPr>
            <w:tcW w:w="657"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16"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903" w:type="dxa"/>
            <w:gridSpan w:val="4"/>
            <w:tcBorders>
              <w:top w:val="single" w:color="auto" w:sz="4" w:space="0"/>
              <w:left w:val="single" w:color="auto" w:sz="4" w:space="0"/>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收入</w:t>
            </w:r>
          </w:p>
        </w:tc>
        <w:tc>
          <w:tcPr>
            <w:tcW w:w="8178" w:type="dxa"/>
            <w:gridSpan w:val="6"/>
            <w:tcBorders>
              <w:top w:val="single" w:color="auto" w:sz="4" w:space="0"/>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支出</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449" w:type="dxa"/>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328"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决算数</w:t>
            </w: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845" w:type="dxa"/>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3633" w:type="dxa"/>
            <w:gridSpan w:val="3"/>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决算数</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    次</w:t>
            </w:r>
          </w:p>
        </w:tc>
        <w:tc>
          <w:tcPr>
            <w:tcW w:w="449" w:type="dxa"/>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28"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    次</w:t>
            </w:r>
          </w:p>
        </w:tc>
        <w:tc>
          <w:tcPr>
            <w:tcW w:w="845" w:type="dxa"/>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633" w:type="dxa"/>
            <w:gridSpan w:val="3"/>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1825.76　</w:t>
            </w: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一、一般公共服务支出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二、政府性基金预算财政拨款收入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二、外交支出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三、国有资本经营预算财政拨款收入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三、国防支出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四、上级补助收入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四、公共安全支出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1830.55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五、事业收入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五、教育支出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六、经营收入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六、科学技术支出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七、附属单位上缴收入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七、文化旅游体育与传媒支出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八、其他收入</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238.48　</w:t>
            </w: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八、社会保障和就业支出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86.42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九、卫生健康支出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41.60</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十、节能环保支出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十一、城乡社区支出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rPr>
                <w:rFonts w:ascii="宋体" w:hAnsi="宋体" w:eastAsia="宋体" w:cs="宋体"/>
                <w:kern w:val="0"/>
                <w:sz w:val="20"/>
                <w:szCs w:val="20"/>
              </w:rPr>
            </w:pPr>
            <w:r>
              <w:rPr>
                <w:rFonts w:hint="eastAsia" w:ascii="宋体" w:hAnsi="宋体" w:eastAsia="宋体" w:cs="宋体"/>
                <w:kern w:val="0"/>
                <w:sz w:val="20"/>
                <w:szCs w:val="20"/>
              </w:rPr>
              <w:t>十二、农林水支出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十三、交通运输支出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十四、资源勘探工业信息等支出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十五、商业服务业等支出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十六、金融支出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十七、援助其他地区支出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十八、自然资源海洋气象等支出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十九、住房保障支出　</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Cs/>
                <w:kern w:val="0"/>
                <w:sz w:val="20"/>
                <w:szCs w:val="20"/>
              </w:rPr>
            </w:pPr>
            <w:r>
              <w:rPr>
                <w:rFonts w:hint="eastAsia" w:ascii="宋体" w:hAnsi="宋体" w:eastAsia="宋体" w:cs="宋体"/>
                <w:b/>
                <w:bCs/>
                <w:kern w:val="0"/>
                <w:sz w:val="20"/>
                <w:szCs w:val="20"/>
              </w:rPr>
              <w:t>　</w:t>
            </w:r>
            <w:r>
              <w:rPr>
                <w:rFonts w:hint="eastAsia" w:ascii="宋体" w:hAnsi="宋体" w:eastAsia="宋体" w:cs="宋体"/>
                <w:bCs/>
                <w:kern w:val="0"/>
                <w:sz w:val="20"/>
                <w:szCs w:val="20"/>
              </w:rPr>
              <w:t>105</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二十、粮油物资储备支出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0"/>
                <w:szCs w:val="20"/>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二十一、国有资本经营预算支出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51</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0"/>
                <w:szCs w:val="20"/>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二十二、灾害防治及应急管理支出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52</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0"/>
                <w:szCs w:val="20"/>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二十三、其他支出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53</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0"/>
                <w:szCs w:val="20"/>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二十四、债务还本支出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54</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0"/>
                <w:szCs w:val="20"/>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二十五、债务付息支出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55</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0"/>
                <w:szCs w:val="20"/>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right"/>
              <w:rPr>
                <w:rFonts w:ascii="宋体" w:hAnsi="宋体" w:eastAsia="宋体" w:cs="宋体"/>
                <w:kern w:val="0"/>
                <w:sz w:val="20"/>
                <w:szCs w:val="20"/>
              </w:rPr>
            </w:pP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二十六、抗疫特别国债安排的支出</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56</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0"/>
                <w:szCs w:val="20"/>
              </w:rPr>
            </w:pP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本年收入合计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27</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0"/>
                <w:szCs w:val="20"/>
              </w:rPr>
            </w:pPr>
            <w:r>
              <w:rPr>
                <w:rFonts w:hint="eastAsia" w:ascii="宋体" w:hAnsi="宋体" w:eastAsia="宋体" w:cs="宋体"/>
                <w:b/>
                <w:kern w:val="0"/>
                <w:sz w:val="20"/>
                <w:szCs w:val="20"/>
              </w:rPr>
              <w:t>2064.24　</w:t>
            </w: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本年支出合计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57</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0"/>
                <w:szCs w:val="20"/>
              </w:rPr>
            </w:pPr>
            <w:r>
              <w:rPr>
                <w:rFonts w:hint="eastAsia" w:ascii="宋体" w:hAnsi="宋体" w:eastAsia="宋体" w:cs="宋体"/>
                <w:b/>
                <w:kern w:val="0"/>
                <w:sz w:val="20"/>
                <w:szCs w:val="20"/>
              </w:rPr>
              <w:t>　</w:t>
            </w:r>
            <w:r>
              <w:rPr>
                <w:rFonts w:ascii="宋体" w:hAnsi="宋体" w:eastAsia="宋体" w:cs="宋体"/>
                <w:b/>
                <w:kern w:val="0"/>
                <w:sz w:val="20"/>
                <w:szCs w:val="20"/>
              </w:rPr>
              <w:t>2065.57</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使用非财政拨款结余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28</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结余分配</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58</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年初结转和结余</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23.32　</w:t>
            </w: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年末结转和结余</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59</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21.99</w:t>
            </w:r>
          </w:p>
        </w:tc>
      </w:tr>
      <w:tr>
        <w:tblPrEx>
          <w:tblCellMar>
            <w:top w:w="0" w:type="dxa"/>
            <w:left w:w="108" w:type="dxa"/>
            <w:bottom w:w="0" w:type="dxa"/>
            <w:right w:w="108" w:type="dxa"/>
          </w:tblCellMar>
        </w:tblPrEx>
        <w:trPr>
          <w:trHeight w:val="340" w:hRule="atLeast"/>
        </w:trPr>
        <w:tc>
          <w:tcPr>
            <w:tcW w:w="4126"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总计</w:t>
            </w:r>
          </w:p>
        </w:tc>
        <w:tc>
          <w:tcPr>
            <w:tcW w:w="449"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1328" w:type="dxa"/>
            <w:gridSpan w:val="2"/>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0"/>
                <w:szCs w:val="20"/>
              </w:rPr>
            </w:pPr>
            <w:r>
              <w:rPr>
                <w:rFonts w:hint="eastAsia" w:ascii="宋体" w:hAnsi="宋体" w:eastAsia="宋体" w:cs="宋体"/>
                <w:b/>
                <w:kern w:val="0"/>
                <w:sz w:val="20"/>
                <w:szCs w:val="20"/>
              </w:rPr>
              <w:t>2087.56　</w:t>
            </w:r>
          </w:p>
        </w:tc>
        <w:tc>
          <w:tcPr>
            <w:tcW w:w="3700"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总计</w:t>
            </w:r>
          </w:p>
        </w:tc>
        <w:tc>
          <w:tcPr>
            <w:tcW w:w="845"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60</w:t>
            </w:r>
          </w:p>
        </w:tc>
        <w:tc>
          <w:tcPr>
            <w:tcW w:w="3633" w:type="dxa"/>
            <w:gridSpan w:val="3"/>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bCs/>
                <w:kern w:val="0"/>
                <w:sz w:val="20"/>
                <w:szCs w:val="20"/>
              </w:rPr>
            </w:pPr>
            <w:r>
              <w:rPr>
                <w:rFonts w:hint="eastAsia" w:ascii="宋体" w:hAnsi="宋体" w:eastAsia="宋体" w:cs="宋体"/>
                <w:b/>
                <w:bCs/>
                <w:kern w:val="0"/>
                <w:sz w:val="20"/>
                <w:szCs w:val="20"/>
              </w:rPr>
              <w:t>　2087.56</w:t>
            </w:r>
          </w:p>
        </w:tc>
      </w:tr>
      <w:tr>
        <w:tblPrEx>
          <w:tblCellMar>
            <w:top w:w="0" w:type="dxa"/>
            <w:left w:w="108" w:type="dxa"/>
            <w:bottom w:w="0" w:type="dxa"/>
            <w:right w:w="108" w:type="dxa"/>
          </w:tblCellMar>
        </w:tblPrEx>
        <w:trPr>
          <w:trHeight w:val="624" w:hRule="atLeast"/>
        </w:trPr>
        <w:tc>
          <w:tcPr>
            <w:tcW w:w="1408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注：1.本表反映部门本年度的总收支和年末结转结余情况。</w:t>
            </w:r>
            <w:r>
              <w:rPr>
                <w:rFonts w:hint="eastAsia" w:ascii="宋体" w:hAnsi="宋体" w:eastAsia="宋体" w:cs="宋体"/>
                <w:kern w:val="0"/>
                <w:sz w:val="24"/>
                <w:szCs w:val="24"/>
              </w:rPr>
              <w:br w:type="textWrapping"/>
            </w:r>
            <w:r>
              <w:rPr>
                <w:rFonts w:hint="eastAsia" w:ascii="宋体" w:hAnsi="宋体" w:eastAsia="宋体" w:cs="宋体"/>
                <w:kern w:val="0"/>
                <w:sz w:val="24"/>
                <w:szCs w:val="24"/>
              </w:rPr>
              <w:t xml:space="preserve"> 2.本套报表金额单位转换时可能存在尾数误差。</w:t>
            </w: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widowControl/>
              <w:jc w:val="center"/>
              <w:rPr>
                <w:rFonts w:ascii="宋体" w:hAnsi="宋体" w:eastAsia="宋体" w:cs="宋体"/>
                <w:kern w:val="0"/>
                <w:sz w:val="24"/>
                <w:szCs w:val="24"/>
              </w:rPr>
            </w:pPr>
            <w:r>
              <w:rPr>
                <w:rFonts w:hint="eastAsia" w:ascii="华文中宋" w:hAnsi="华文中宋" w:eastAsia="华文中宋"/>
                <w:color w:val="000000"/>
                <w:sz w:val="32"/>
                <w:szCs w:val="32"/>
              </w:rPr>
              <w:t>收入决算表</w:t>
            </w:r>
          </w:p>
          <w:tbl>
            <w:tblPr>
              <w:tblStyle w:val="6"/>
              <w:tblW w:w="13860" w:type="dxa"/>
              <w:tblInd w:w="0" w:type="dxa"/>
              <w:tblLayout w:type="fixed"/>
              <w:tblCellMar>
                <w:top w:w="0" w:type="dxa"/>
                <w:left w:w="108" w:type="dxa"/>
                <w:bottom w:w="0" w:type="dxa"/>
                <w:right w:w="108" w:type="dxa"/>
              </w:tblCellMar>
            </w:tblPr>
            <w:tblGrid>
              <w:gridCol w:w="309"/>
              <w:gridCol w:w="309"/>
              <w:gridCol w:w="309"/>
              <w:gridCol w:w="3021"/>
              <w:gridCol w:w="1416"/>
              <w:gridCol w:w="1416"/>
              <w:gridCol w:w="1416"/>
              <w:gridCol w:w="1416"/>
              <w:gridCol w:w="1416"/>
              <w:gridCol w:w="1416"/>
              <w:gridCol w:w="1416"/>
            </w:tblGrid>
            <w:tr>
              <w:tblPrEx>
                <w:tblCellMar>
                  <w:top w:w="0" w:type="dxa"/>
                  <w:left w:w="108" w:type="dxa"/>
                  <w:bottom w:w="0" w:type="dxa"/>
                  <w:right w:w="108" w:type="dxa"/>
                </w:tblCellMar>
              </w:tblPrEx>
              <w:trPr>
                <w:trHeight w:val="300" w:hRule="atLeast"/>
              </w:trPr>
              <w:tc>
                <w:tcPr>
                  <w:tcW w:w="30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0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0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021"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4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4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4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4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4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416"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416" w:type="dxa"/>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公开02表</w:t>
                  </w:r>
                </w:p>
              </w:tc>
            </w:tr>
            <w:tr>
              <w:tblPrEx>
                <w:tblCellMar>
                  <w:top w:w="0" w:type="dxa"/>
                  <w:left w:w="108" w:type="dxa"/>
                  <w:bottom w:w="0" w:type="dxa"/>
                  <w:right w:w="108" w:type="dxa"/>
                </w:tblCellMar>
              </w:tblPrEx>
              <w:trPr>
                <w:trHeight w:val="300" w:hRule="atLeast"/>
              </w:trPr>
              <w:tc>
                <w:tcPr>
                  <w:tcW w:w="3948" w:type="dxa"/>
                  <w:gridSpan w:val="4"/>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部门：涟源市人民检察院</w:t>
                  </w:r>
                </w:p>
              </w:tc>
              <w:tc>
                <w:tcPr>
                  <w:tcW w:w="1416"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416" w:type="dxa"/>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2021年度</w:t>
                  </w:r>
                </w:p>
              </w:tc>
              <w:tc>
                <w:tcPr>
                  <w:tcW w:w="1416"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416"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416"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416"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416" w:type="dxa"/>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40" w:hRule="atLeast"/>
              </w:trPr>
              <w:tc>
                <w:tcPr>
                  <w:tcW w:w="3948" w:type="dxa"/>
                  <w:gridSpan w:val="4"/>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1416"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本年收入合计</w:t>
                  </w:r>
                </w:p>
              </w:tc>
              <w:tc>
                <w:tcPr>
                  <w:tcW w:w="1416"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财政拨款收入</w:t>
                  </w:r>
                </w:p>
              </w:tc>
              <w:tc>
                <w:tcPr>
                  <w:tcW w:w="1416"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上级补助收入</w:t>
                  </w:r>
                </w:p>
              </w:tc>
              <w:tc>
                <w:tcPr>
                  <w:tcW w:w="1416"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事业收入</w:t>
                  </w:r>
                </w:p>
              </w:tc>
              <w:tc>
                <w:tcPr>
                  <w:tcW w:w="1416"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经营收入</w:t>
                  </w:r>
                </w:p>
              </w:tc>
              <w:tc>
                <w:tcPr>
                  <w:tcW w:w="1416"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附属单位上缴收入</w:t>
                  </w:r>
                </w:p>
              </w:tc>
              <w:tc>
                <w:tcPr>
                  <w:tcW w:w="1416"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其他收入</w:t>
                  </w:r>
                </w:p>
              </w:tc>
            </w:tr>
            <w:tr>
              <w:tblPrEx>
                <w:tblCellMar>
                  <w:top w:w="0" w:type="dxa"/>
                  <w:left w:w="108" w:type="dxa"/>
                  <w:bottom w:w="0" w:type="dxa"/>
                  <w:right w:w="108" w:type="dxa"/>
                </w:tblCellMar>
              </w:tblPrEx>
              <w:trPr>
                <w:trHeight w:val="340" w:hRule="atLeast"/>
              </w:trPr>
              <w:tc>
                <w:tcPr>
                  <w:tcW w:w="927" w:type="dxa"/>
                  <w:gridSpan w:val="3"/>
                  <w:vMerge w:val="restart"/>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3021" w:type="dxa"/>
                  <w:vMerge w:val="restart"/>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416"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416"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416"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416"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416"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416"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416"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40" w:hRule="atLeast"/>
              </w:trPr>
              <w:tc>
                <w:tcPr>
                  <w:tcW w:w="927" w:type="dxa"/>
                  <w:gridSpan w:val="3"/>
                  <w:vMerge w:val="continue"/>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3021"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416"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416"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416"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416"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416"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416"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416"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40" w:hRule="atLeast"/>
              </w:trPr>
              <w:tc>
                <w:tcPr>
                  <w:tcW w:w="927" w:type="dxa"/>
                  <w:gridSpan w:val="3"/>
                  <w:vMerge w:val="continue"/>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3021"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416"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416"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416"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416"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416"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416"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416"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40" w:hRule="atLeast"/>
              </w:trPr>
              <w:tc>
                <w:tcPr>
                  <w:tcW w:w="3948" w:type="dxa"/>
                  <w:gridSpan w:val="4"/>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1416" w:type="dxa"/>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416" w:type="dxa"/>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416" w:type="dxa"/>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416" w:type="dxa"/>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416" w:type="dxa"/>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416" w:type="dxa"/>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c>
                <w:tcPr>
                  <w:tcW w:w="1416" w:type="dxa"/>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7</w:t>
                  </w:r>
                </w:p>
              </w:tc>
            </w:tr>
            <w:tr>
              <w:tblPrEx>
                <w:tblCellMar>
                  <w:top w:w="0" w:type="dxa"/>
                  <w:left w:w="108" w:type="dxa"/>
                  <w:bottom w:w="0" w:type="dxa"/>
                  <w:right w:w="108" w:type="dxa"/>
                </w:tblCellMar>
              </w:tblPrEx>
              <w:trPr>
                <w:trHeight w:val="340" w:hRule="atLeast"/>
              </w:trPr>
              <w:tc>
                <w:tcPr>
                  <w:tcW w:w="3948" w:type="dxa"/>
                  <w:gridSpan w:val="4"/>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2,064.24</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1,825.76</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238.48</w:t>
                  </w:r>
                </w:p>
              </w:tc>
            </w:tr>
            <w:tr>
              <w:tblPrEx>
                <w:tblCellMar>
                  <w:top w:w="0" w:type="dxa"/>
                  <w:left w:w="108" w:type="dxa"/>
                  <w:bottom w:w="0" w:type="dxa"/>
                  <w:right w:w="108" w:type="dxa"/>
                </w:tblCellMar>
              </w:tblPrEx>
              <w:trPr>
                <w:trHeight w:val="340" w:hRule="atLeast"/>
              </w:trPr>
              <w:tc>
                <w:tcPr>
                  <w:tcW w:w="927"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204</w:t>
                  </w:r>
                </w:p>
              </w:tc>
              <w:tc>
                <w:tcPr>
                  <w:tcW w:w="302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公共安全支出</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1,829.22</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1,590.74</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238.48</w:t>
                  </w:r>
                </w:p>
              </w:tc>
            </w:tr>
            <w:tr>
              <w:tblPrEx>
                <w:tblCellMar>
                  <w:top w:w="0" w:type="dxa"/>
                  <w:left w:w="108" w:type="dxa"/>
                  <w:bottom w:w="0" w:type="dxa"/>
                  <w:right w:w="108" w:type="dxa"/>
                </w:tblCellMar>
              </w:tblPrEx>
              <w:trPr>
                <w:trHeight w:val="340" w:hRule="atLeast"/>
              </w:trPr>
              <w:tc>
                <w:tcPr>
                  <w:tcW w:w="927"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20402</w:t>
                  </w:r>
                </w:p>
              </w:tc>
              <w:tc>
                <w:tcPr>
                  <w:tcW w:w="302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公安</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29.00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29.00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40" w:hRule="atLeast"/>
              </w:trPr>
              <w:tc>
                <w:tcPr>
                  <w:tcW w:w="927"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2040201</w:t>
                  </w:r>
                </w:p>
              </w:tc>
              <w:tc>
                <w:tcPr>
                  <w:tcW w:w="302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40" w:hRule="atLeast"/>
              </w:trPr>
              <w:tc>
                <w:tcPr>
                  <w:tcW w:w="927"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2040202</w:t>
                  </w:r>
                </w:p>
              </w:tc>
              <w:tc>
                <w:tcPr>
                  <w:tcW w:w="302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一般行政管理事务</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40" w:hRule="atLeast"/>
              </w:trPr>
              <w:tc>
                <w:tcPr>
                  <w:tcW w:w="927"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20404</w:t>
                  </w:r>
                </w:p>
              </w:tc>
              <w:tc>
                <w:tcPr>
                  <w:tcW w:w="302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检察</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1,800.22</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1,561.74</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238.48</w:t>
                  </w:r>
                </w:p>
              </w:tc>
            </w:tr>
            <w:tr>
              <w:tblPrEx>
                <w:tblCellMar>
                  <w:top w:w="0" w:type="dxa"/>
                  <w:left w:w="108" w:type="dxa"/>
                  <w:bottom w:w="0" w:type="dxa"/>
                  <w:right w:w="108" w:type="dxa"/>
                </w:tblCellMar>
              </w:tblPrEx>
              <w:trPr>
                <w:trHeight w:val="340" w:hRule="atLeast"/>
              </w:trPr>
              <w:tc>
                <w:tcPr>
                  <w:tcW w:w="927"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2040401</w:t>
                  </w:r>
                </w:p>
              </w:tc>
              <w:tc>
                <w:tcPr>
                  <w:tcW w:w="302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1,578.31</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1,393.65</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184.66</w:t>
                  </w:r>
                </w:p>
              </w:tc>
            </w:tr>
            <w:tr>
              <w:tblPrEx>
                <w:tblCellMar>
                  <w:top w:w="0" w:type="dxa"/>
                  <w:left w:w="108" w:type="dxa"/>
                  <w:bottom w:w="0" w:type="dxa"/>
                  <w:right w:w="108" w:type="dxa"/>
                </w:tblCellMar>
              </w:tblPrEx>
              <w:trPr>
                <w:trHeight w:val="340" w:hRule="atLeast"/>
              </w:trPr>
              <w:tc>
                <w:tcPr>
                  <w:tcW w:w="927"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2040402</w:t>
                  </w:r>
                </w:p>
              </w:tc>
              <w:tc>
                <w:tcPr>
                  <w:tcW w:w="302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一般行政管理事务</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197.91</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144.09</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53.82</w:t>
                  </w:r>
                </w:p>
              </w:tc>
            </w:tr>
            <w:tr>
              <w:tblPrEx>
                <w:tblCellMar>
                  <w:top w:w="0" w:type="dxa"/>
                  <w:left w:w="108" w:type="dxa"/>
                  <w:bottom w:w="0" w:type="dxa"/>
                  <w:right w:w="108" w:type="dxa"/>
                </w:tblCellMar>
              </w:tblPrEx>
              <w:trPr>
                <w:trHeight w:val="340" w:hRule="atLeast"/>
              </w:trPr>
              <w:tc>
                <w:tcPr>
                  <w:tcW w:w="927"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2040410</w:t>
                  </w:r>
                </w:p>
              </w:tc>
              <w:tc>
                <w:tcPr>
                  <w:tcW w:w="302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检察监督</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40" w:hRule="atLeast"/>
              </w:trPr>
              <w:tc>
                <w:tcPr>
                  <w:tcW w:w="927"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205</w:t>
                  </w:r>
                </w:p>
              </w:tc>
              <w:tc>
                <w:tcPr>
                  <w:tcW w:w="302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教育支出</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40" w:hRule="atLeast"/>
              </w:trPr>
              <w:tc>
                <w:tcPr>
                  <w:tcW w:w="927"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20508</w:t>
                  </w:r>
                </w:p>
              </w:tc>
              <w:tc>
                <w:tcPr>
                  <w:tcW w:w="302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进修及培训</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40" w:hRule="atLeast"/>
              </w:trPr>
              <w:tc>
                <w:tcPr>
                  <w:tcW w:w="927"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2050803</w:t>
                  </w:r>
                </w:p>
              </w:tc>
              <w:tc>
                <w:tcPr>
                  <w:tcW w:w="302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培训支出</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40" w:hRule="atLeast"/>
              </w:trPr>
              <w:tc>
                <w:tcPr>
                  <w:tcW w:w="927"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302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86.42</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86.42</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40" w:hRule="atLeast"/>
              </w:trPr>
              <w:tc>
                <w:tcPr>
                  <w:tcW w:w="927"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302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79.20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79.20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40" w:hRule="atLeast"/>
              </w:trPr>
              <w:tc>
                <w:tcPr>
                  <w:tcW w:w="927"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302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79.20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79.20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40" w:hRule="atLeast"/>
              </w:trPr>
              <w:tc>
                <w:tcPr>
                  <w:tcW w:w="927"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20899</w:t>
                  </w:r>
                </w:p>
              </w:tc>
              <w:tc>
                <w:tcPr>
                  <w:tcW w:w="302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其他社会保障和就业支出</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7.22</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7.22</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40" w:hRule="atLeast"/>
              </w:trPr>
              <w:tc>
                <w:tcPr>
                  <w:tcW w:w="927"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2089999</w:t>
                  </w:r>
                </w:p>
              </w:tc>
              <w:tc>
                <w:tcPr>
                  <w:tcW w:w="302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其他社会保障和就业支出</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7.22</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7.22</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40" w:hRule="atLeast"/>
              </w:trPr>
              <w:tc>
                <w:tcPr>
                  <w:tcW w:w="927"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302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卫生健康支出</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41.60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41.60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40" w:hRule="atLeast"/>
              </w:trPr>
              <w:tc>
                <w:tcPr>
                  <w:tcW w:w="927"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302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41.60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41.60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40" w:hRule="atLeast"/>
              </w:trPr>
              <w:tc>
                <w:tcPr>
                  <w:tcW w:w="927"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2101101</w:t>
                  </w:r>
                </w:p>
              </w:tc>
              <w:tc>
                <w:tcPr>
                  <w:tcW w:w="302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行政单位医疗</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39.60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39.60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40" w:hRule="atLeast"/>
              </w:trPr>
              <w:tc>
                <w:tcPr>
                  <w:tcW w:w="927"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2101103</w:t>
                  </w:r>
                </w:p>
              </w:tc>
              <w:tc>
                <w:tcPr>
                  <w:tcW w:w="302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40" w:hRule="atLeast"/>
              </w:trPr>
              <w:tc>
                <w:tcPr>
                  <w:tcW w:w="927"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302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105.00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105.00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40" w:hRule="atLeast"/>
              </w:trPr>
              <w:tc>
                <w:tcPr>
                  <w:tcW w:w="927"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302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105.00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105.00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40" w:hRule="atLeast"/>
              </w:trPr>
              <w:tc>
                <w:tcPr>
                  <w:tcW w:w="927"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302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105.00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105.00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416"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bl>
          <w:p>
            <w:pPr>
              <w:widowControl/>
              <w:jc w:val="left"/>
              <w:rPr>
                <w:rFonts w:ascii="宋体" w:hAnsi="宋体" w:eastAsia="宋体" w:cs="宋体"/>
                <w:kern w:val="0"/>
                <w:sz w:val="24"/>
                <w:szCs w:val="24"/>
              </w:rPr>
            </w:pPr>
          </w:p>
        </w:tc>
      </w:tr>
      <w:tr>
        <w:tblPrEx>
          <w:tblCellMar>
            <w:top w:w="0" w:type="dxa"/>
            <w:left w:w="108" w:type="dxa"/>
            <w:bottom w:w="0" w:type="dxa"/>
            <w:right w:w="108" w:type="dxa"/>
          </w:tblCellMar>
        </w:tblPrEx>
        <w:trPr>
          <w:trHeight w:val="624" w:hRule="atLeast"/>
        </w:trPr>
        <w:tc>
          <w:tcPr>
            <w:tcW w:w="14081" w:type="dxa"/>
            <w:gridSpan w:val="10"/>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注：本表反映部门本年度取得的各项收入情况。</w:t>
            </w:r>
          </w:p>
        </w:tc>
      </w:tr>
    </w:tbl>
    <w:p>
      <w:pPr>
        <w:rPr>
          <w:rFonts w:ascii="黑体" w:hAnsi="黑体" w:eastAsia="黑体"/>
          <w:sz w:val="28"/>
          <w:szCs w:val="28"/>
        </w:rPr>
        <w:sectPr>
          <w:pgSz w:w="16838" w:h="11906" w:orient="landscape"/>
          <w:pgMar w:top="1797" w:right="1440" w:bottom="1797" w:left="1440" w:header="851" w:footer="992" w:gutter="0"/>
          <w:cols w:space="425" w:num="1"/>
          <w:docGrid w:type="linesAndChars" w:linePitch="312" w:charSpace="0"/>
        </w:sectPr>
      </w:pPr>
    </w:p>
    <w:p>
      <w:pPr>
        <w:widowControl/>
        <w:jc w:val="left"/>
        <w:rPr>
          <w:rFonts w:ascii="Times New Roman" w:hAnsi="Times New Roman" w:eastAsia="黑体" w:cs="Times New Roman"/>
          <w:bCs/>
          <w:kern w:val="0"/>
          <w:sz w:val="32"/>
          <w:szCs w:val="32"/>
        </w:rPr>
      </w:pPr>
    </w:p>
    <w:tbl>
      <w:tblPr>
        <w:tblStyle w:val="6"/>
        <w:tblW w:w="15740" w:type="dxa"/>
        <w:tblInd w:w="91" w:type="dxa"/>
        <w:tblLayout w:type="autofit"/>
        <w:tblCellMar>
          <w:top w:w="0" w:type="dxa"/>
          <w:left w:w="108" w:type="dxa"/>
          <w:bottom w:w="0" w:type="dxa"/>
          <w:right w:w="108" w:type="dxa"/>
        </w:tblCellMar>
      </w:tblPr>
      <w:tblGrid>
        <w:gridCol w:w="340"/>
        <w:gridCol w:w="340"/>
        <w:gridCol w:w="340"/>
        <w:gridCol w:w="3920"/>
        <w:gridCol w:w="1800"/>
        <w:gridCol w:w="1800"/>
        <w:gridCol w:w="1800"/>
        <w:gridCol w:w="1800"/>
        <w:gridCol w:w="1800"/>
        <w:gridCol w:w="1800"/>
      </w:tblGrid>
      <w:tr>
        <w:tblPrEx>
          <w:tblCellMar>
            <w:top w:w="0" w:type="dxa"/>
            <w:left w:w="108" w:type="dxa"/>
            <w:bottom w:w="0" w:type="dxa"/>
            <w:right w:w="108" w:type="dxa"/>
          </w:tblCellMar>
        </w:tblPrEx>
        <w:trPr>
          <w:trHeight w:val="375" w:hRule="atLeast"/>
        </w:trPr>
        <w:tc>
          <w:tcPr>
            <w:tcW w:w="340" w:type="dxa"/>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p>
        </w:tc>
        <w:tc>
          <w:tcPr>
            <w:tcW w:w="340" w:type="dxa"/>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p>
        </w:tc>
        <w:tc>
          <w:tcPr>
            <w:tcW w:w="340" w:type="dxa"/>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p>
        </w:tc>
        <w:tc>
          <w:tcPr>
            <w:tcW w:w="3920" w:type="dxa"/>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p>
        </w:tc>
        <w:tc>
          <w:tcPr>
            <w:tcW w:w="1800" w:type="dxa"/>
            <w:tcBorders>
              <w:top w:val="nil"/>
              <w:left w:val="nil"/>
              <w:bottom w:val="nil"/>
              <w:right w:val="nil"/>
            </w:tcBorders>
            <w:shd w:val="clear" w:color="000000" w:fill="FFFFFF"/>
            <w:noWrap/>
            <w:vAlign w:val="center"/>
          </w:tcPr>
          <w:p>
            <w:pPr>
              <w:widowControl/>
              <w:jc w:val="center"/>
              <w:rPr>
                <w:rFonts w:ascii="黑体" w:hAnsi="黑体" w:eastAsia="黑体" w:cs="Arial"/>
                <w:color w:val="000000"/>
                <w:kern w:val="0"/>
                <w:sz w:val="30"/>
                <w:szCs w:val="30"/>
              </w:rPr>
            </w:pPr>
            <w:r>
              <w:rPr>
                <w:rFonts w:hint="eastAsia" w:ascii="黑体" w:hAnsi="黑体" w:eastAsia="黑体" w:cs="Arial"/>
                <w:color w:val="000000"/>
                <w:kern w:val="0"/>
                <w:sz w:val="30"/>
                <w:szCs w:val="30"/>
              </w:rPr>
              <w:t>支出决算表</w:t>
            </w:r>
          </w:p>
        </w:tc>
        <w:tc>
          <w:tcPr>
            <w:tcW w:w="1800" w:type="dxa"/>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p>
        </w:tc>
        <w:tc>
          <w:tcPr>
            <w:tcW w:w="1800" w:type="dxa"/>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p>
        </w:tc>
        <w:tc>
          <w:tcPr>
            <w:tcW w:w="1800" w:type="dxa"/>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p>
        </w:tc>
        <w:tc>
          <w:tcPr>
            <w:tcW w:w="1800" w:type="dxa"/>
            <w:tcBorders>
              <w:top w:val="nil"/>
              <w:left w:val="nil"/>
              <w:bottom w:val="nil"/>
              <w:right w:val="nil"/>
            </w:tcBorders>
            <w:shd w:val="clear" w:color="000000" w:fill="FFFFFF"/>
            <w:noWrap/>
            <w:vAlign w:val="center"/>
          </w:tcPr>
          <w:p>
            <w:pPr>
              <w:widowControl/>
              <w:jc w:val="center"/>
              <w:rPr>
                <w:rFonts w:ascii="宋体" w:hAnsi="宋体" w:eastAsia="宋体" w:cs="Arial"/>
                <w:kern w:val="0"/>
                <w:sz w:val="18"/>
                <w:szCs w:val="18"/>
              </w:rPr>
            </w:pPr>
          </w:p>
        </w:tc>
        <w:tc>
          <w:tcPr>
            <w:tcW w:w="1800" w:type="dxa"/>
            <w:tcBorders>
              <w:top w:val="nil"/>
              <w:left w:val="nil"/>
              <w:bottom w:val="nil"/>
              <w:right w:val="single" w:color="808080" w:sz="4" w:space="0"/>
            </w:tcBorders>
            <w:shd w:val="clear" w:color="000000" w:fill="FFFFFF"/>
            <w:noWrap/>
            <w:vAlign w:val="center"/>
          </w:tcPr>
          <w:p>
            <w:pPr>
              <w:widowControl/>
              <w:jc w:val="center"/>
              <w:rPr>
                <w:rFonts w:ascii="宋体" w:hAnsi="宋体" w:eastAsia="宋体" w:cs="Arial"/>
                <w:kern w:val="0"/>
                <w:sz w:val="18"/>
                <w:szCs w:val="18"/>
              </w:rPr>
            </w:pPr>
          </w:p>
        </w:tc>
      </w:tr>
      <w:tr>
        <w:tblPrEx>
          <w:tblCellMar>
            <w:top w:w="0" w:type="dxa"/>
            <w:left w:w="108" w:type="dxa"/>
            <w:bottom w:w="0" w:type="dxa"/>
            <w:right w:w="108" w:type="dxa"/>
          </w:tblCellMar>
        </w:tblPrEx>
        <w:trPr>
          <w:trHeight w:val="567" w:hRule="atLeast"/>
        </w:trPr>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4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9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公开03表</w:t>
            </w:r>
          </w:p>
        </w:tc>
      </w:tr>
      <w:tr>
        <w:tblPrEx>
          <w:tblCellMar>
            <w:top w:w="0" w:type="dxa"/>
            <w:left w:w="108" w:type="dxa"/>
            <w:bottom w:w="0" w:type="dxa"/>
            <w:right w:w="108" w:type="dxa"/>
          </w:tblCellMar>
        </w:tblPrEx>
        <w:trPr>
          <w:trHeight w:val="567" w:hRule="atLeast"/>
        </w:trPr>
        <w:tc>
          <w:tcPr>
            <w:tcW w:w="4940" w:type="dxa"/>
            <w:gridSpan w:val="4"/>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部门：涟源市人民检察院</w:t>
            </w:r>
          </w:p>
        </w:tc>
        <w:tc>
          <w:tcPr>
            <w:tcW w:w="1800" w:type="dxa"/>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2021年度</w:t>
            </w:r>
          </w:p>
        </w:tc>
        <w:tc>
          <w:tcPr>
            <w:tcW w:w="180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800" w:type="dxa"/>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00" w:hRule="atLeast"/>
        </w:trPr>
        <w:tc>
          <w:tcPr>
            <w:tcW w:w="4940" w:type="dxa"/>
            <w:gridSpan w:val="4"/>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1800"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本年支出合计</w:t>
            </w:r>
          </w:p>
        </w:tc>
        <w:tc>
          <w:tcPr>
            <w:tcW w:w="1800"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1800"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c>
          <w:tcPr>
            <w:tcW w:w="1800"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上缴上级支出</w:t>
            </w:r>
          </w:p>
        </w:tc>
        <w:tc>
          <w:tcPr>
            <w:tcW w:w="1800"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经营支出</w:t>
            </w:r>
          </w:p>
        </w:tc>
        <w:tc>
          <w:tcPr>
            <w:tcW w:w="1800"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对附属单位补助支出</w:t>
            </w:r>
          </w:p>
        </w:tc>
      </w:tr>
      <w:tr>
        <w:tblPrEx>
          <w:tblCellMar>
            <w:top w:w="0" w:type="dxa"/>
            <w:left w:w="108" w:type="dxa"/>
            <w:bottom w:w="0" w:type="dxa"/>
            <w:right w:w="108" w:type="dxa"/>
          </w:tblCellMar>
        </w:tblPrEx>
        <w:trPr>
          <w:trHeight w:val="312" w:hRule="atLeast"/>
        </w:trPr>
        <w:tc>
          <w:tcPr>
            <w:tcW w:w="1020" w:type="dxa"/>
            <w:gridSpan w:val="3"/>
            <w:vMerge w:val="restart"/>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3920" w:type="dxa"/>
            <w:vMerge w:val="restart"/>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800"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3920"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12" w:hRule="atLeast"/>
        </w:trPr>
        <w:tc>
          <w:tcPr>
            <w:tcW w:w="1020" w:type="dxa"/>
            <w:gridSpan w:val="3"/>
            <w:vMerge w:val="continue"/>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3920"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800"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4940" w:type="dxa"/>
            <w:gridSpan w:val="4"/>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1800" w:type="dxa"/>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1800" w:type="dxa"/>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1800" w:type="dxa"/>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c>
          <w:tcPr>
            <w:tcW w:w="1800" w:type="dxa"/>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4</w:t>
            </w:r>
          </w:p>
        </w:tc>
        <w:tc>
          <w:tcPr>
            <w:tcW w:w="1800" w:type="dxa"/>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5</w:t>
            </w:r>
          </w:p>
        </w:tc>
        <w:tc>
          <w:tcPr>
            <w:tcW w:w="1800" w:type="dxa"/>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6</w:t>
            </w:r>
          </w:p>
        </w:tc>
      </w:tr>
      <w:tr>
        <w:tblPrEx>
          <w:tblCellMar>
            <w:top w:w="0" w:type="dxa"/>
            <w:left w:w="108" w:type="dxa"/>
            <w:bottom w:w="0" w:type="dxa"/>
            <w:right w:w="108" w:type="dxa"/>
          </w:tblCellMar>
        </w:tblPrEx>
        <w:trPr>
          <w:trHeight w:val="300" w:hRule="atLeast"/>
        </w:trPr>
        <w:tc>
          <w:tcPr>
            <w:tcW w:w="4940" w:type="dxa"/>
            <w:gridSpan w:val="4"/>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2,065.57</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1,839.13</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226.44</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204</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公共安全支出</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1,830.55</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1,604.11</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226.44</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20402</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公安</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29.00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2040201</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2040202</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一般行政管理事务</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20404</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检察</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1,801.55</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1,578.11</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223.44</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2040401</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1,578.11</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1,578.11</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2040402</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一般行政管理事务</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199.44</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199.44</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2040410</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检察监督</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205</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教育支出</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20508</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进修及培训</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2050803</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培训支出</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86.42</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86.42</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79.20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79.20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79.20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79.20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20899</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其他社会保障和就业支出</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7.22</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7.22</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2089999</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其他社会保障和就业支出</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7.22</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7.22</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卫生健康支出</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41.60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41.60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41.60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41.60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2101101</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行政单位医疗</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39.60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39.60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2101103</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105.00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105.00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105.00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105.00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1020"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105.00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105.00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180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5740" w:type="dxa"/>
            <w:gridSpan w:val="10"/>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注：本表反映部门本年度各项支出情况。</w:t>
            </w:r>
          </w:p>
        </w:tc>
      </w:tr>
    </w:tbl>
    <w:p>
      <w:pPr>
        <w:widowControl/>
        <w:jc w:val="left"/>
        <w:rPr>
          <w:rFonts w:ascii="Times New Roman" w:hAnsi="Times New Roman" w:eastAsia="黑体" w:cs="Times New Roman"/>
          <w:bCs/>
          <w:kern w:val="0"/>
          <w:sz w:val="32"/>
          <w:szCs w:val="32"/>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p>
      <w:pPr>
        <w:widowControl/>
        <w:ind w:left="93"/>
        <w:jc w:val="center"/>
        <w:rPr>
          <w:rFonts w:ascii="Times New Roman" w:hAnsi="Times New Roman" w:eastAsia="方正小标宋_GBK" w:cs="Times New Roman"/>
          <w:color w:val="000000"/>
          <w:kern w:val="0"/>
          <w:sz w:val="36"/>
          <w:szCs w:val="21"/>
        </w:rPr>
      </w:pPr>
    </w:p>
    <w:tbl>
      <w:tblPr>
        <w:tblStyle w:val="6"/>
        <w:tblW w:w="15521" w:type="dxa"/>
        <w:tblInd w:w="91" w:type="dxa"/>
        <w:tblLayout w:type="autofit"/>
        <w:tblCellMar>
          <w:top w:w="0" w:type="dxa"/>
          <w:left w:w="108" w:type="dxa"/>
          <w:bottom w:w="0" w:type="dxa"/>
          <w:right w:w="108" w:type="dxa"/>
        </w:tblCellMar>
      </w:tblPr>
      <w:tblGrid>
        <w:gridCol w:w="3595"/>
        <w:gridCol w:w="436"/>
        <w:gridCol w:w="1078"/>
        <w:gridCol w:w="496"/>
        <w:gridCol w:w="2915"/>
        <w:gridCol w:w="632"/>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5" w:type="dxa"/>
            <w:tcBorders>
              <w:top w:val="nil"/>
              <w:left w:val="nil"/>
              <w:bottom w:val="nil"/>
              <w:right w:val="nil"/>
            </w:tcBorders>
            <w:shd w:val="clear" w:color="auto" w:fill="auto"/>
            <w:noWrap/>
            <w:vAlign w:val="center"/>
          </w:tcPr>
          <w:p>
            <w:pPr>
              <w:widowControl/>
              <w:jc w:val="left"/>
              <w:rPr>
                <w:rFonts w:ascii="黑体" w:hAnsi="黑体" w:eastAsia="黑体" w:cs="宋体"/>
                <w:kern w:val="0"/>
                <w:sz w:val="24"/>
                <w:szCs w:val="24"/>
              </w:rPr>
            </w:pPr>
            <w:bookmarkStart w:id="2" w:name="RANGE!A1:I22"/>
            <w:bookmarkEnd w:id="2"/>
            <w:bookmarkStart w:id="3" w:name="RANGE!A1:F16"/>
          </w:p>
        </w:tc>
        <w:tc>
          <w:tcPr>
            <w:tcW w:w="436"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4"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3547" w:type="dxa"/>
            <w:gridSpan w:val="2"/>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ascii="宋体" w:hAnsi="宋体" w:eastAsia="宋体" w:cs="宋体"/>
                <w:kern w:val="0"/>
                <w:sz w:val="24"/>
                <w:szCs w:val="24"/>
              </w:rPr>
            </w:pPr>
          </w:p>
        </w:tc>
      </w:tr>
      <w:tr>
        <w:tblPrEx>
          <w:tblCellMar>
            <w:top w:w="0" w:type="dxa"/>
            <w:left w:w="108" w:type="dxa"/>
            <w:bottom w:w="0" w:type="dxa"/>
            <w:right w:w="108" w:type="dxa"/>
          </w:tblCellMar>
        </w:tblPrEx>
        <w:trPr>
          <w:trHeight w:val="360" w:hRule="atLeast"/>
        </w:trPr>
        <w:tc>
          <w:tcPr>
            <w:tcW w:w="15521" w:type="dxa"/>
            <w:gridSpan w:val="11"/>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2"/>
                <w:szCs w:val="32"/>
              </w:rPr>
            </w:pPr>
            <w:r>
              <w:rPr>
                <w:rFonts w:hint="eastAsia" w:ascii="华文中宋" w:hAnsi="华文中宋" w:eastAsia="华文中宋" w:cs="宋体"/>
                <w:color w:val="000000"/>
                <w:kern w:val="0"/>
                <w:sz w:val="32"/>
                <w:szCs w:val="32"/>
              </w:rPr>
              <w:t>财政拨款收入支出决算总表</w:t>
            </w:r>
          </w:p>
        </w:tc>
      </w:tr>
      <w:tr>
        <w:tblPrEx>
          <w:tblCellMar>
            <w:top w:w="0" w:type="dxa"/>
            <w:left w:w="108" w:type="dxa"/>
            <w:bottom w:w="0" w:type="dxa"/>
            <w:right w:w="108" w:type="dxa"/>
          </w:tblCellMar>
        </w:tblPrEx>
        <w:trPr>
          <w:trHeight w:val="199" w:hRule="atLeast"/>
        </w:trPr>
        <w:tc>
          <w:tcPr>
            <w:tcW w:w="359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公开04表</w:t>
            </w:r>
          </w:p>
        </w:tc>
      </w:tr>
      <w:tr>
        <w:tblPrEx>
          <w:tblCellMar>
            <w:top w:w="0" w:type="dxa"/>
            <w:left w:w="108" w:type="dxa"/>
            <w:bottom w:w="0" w:type="dxa"/>
            <w:right w:w="108" w:type="dxa"/>
          </w:tblCellMar>
        </w:tblPrEx>
        <w:trPr>
          <w:trHeight w:val="300" w:hRule="atLeast"/>
        </w:trPr>
        <w:tc>
          <w:tcPr>
            <w:tcW w:w="3595"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部门：涟源市人民检察院</w:t>
            </w:r>
          </w:p>
        </w:tc>
        <w:tc>
          <w:tcPr>
            <w:tcW w:w="436"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078"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4043" w:type="dxa"/>
            <w:gridSpan w:val="3"/>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Arial"/>
                <w:color w:val="000000"/>
                <w:kern w:val="0"/>
                <w:sz w:val="22"/>
              </w:rPr>
              <w:t>2021年度</w:t>
            </w:r>
            <w:r>
              <w:rPr>
                <w:rFonts w:hint="eastAsia" w:ascii="宋体" w:hAnsi="宋体" w:eastAsia="宋体" w:cs="宋体"/>
                <w:kern w:val="0"/>
                <w:sz w:val="24"/>
                <w:szCs w:val="24"/>
              </w:rPr>
              <w:t>　</w:t>
            </w:r>
          </w:p>
        </w:tc>
        <w:tc>
          <w:tcPr>
            <w:tcW w:w="435"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394" w:type="dxa"/>
            <w:tcBorders>
              <w:top w:val="nil"/>
              <w:left w:val="nil"/>
              <w:bottom w:val="nil"/>
              <w:right w:val="nil"/>
            </w:tcBorders>
            <w:shd w:val="clear" w:color="000000" w:fill="FFFFFF"/>
            <w:noWrap/>
            <w:vAlign w:val="center"/>
          </w:tcPr>
          <w:p>
            <w:pPr>
              <w:widowControl/>
              <w:jc w:val="right"/>
              <w:rPr>
                <w:rFonts w:ascii="宋体" w:hAnsi="宋体" w:eastAsia="宋体" w:cs="宋体"/>
                <w:kern w:val="0"/>
                <w:sz w:val="24"/>
                <w:szCs w:val="24"/>
              </w:rPr>
            </w:pPr>
            <w:r>
              <w:rPr>
                <w:rFonts w:hint="eastAsia" w:ascii="宋体" w:hAnsi="宋体" w:eastAsia="宋体" w:cs="宋体"/>
                <w:kern w:val="0"/>
                <w:sz w:val="24"/>
                <w:szCs w:val="24"/>
              </w:rPr>
              <w:t>　</w:t>
            </w:r>
          </w:p>
        </w:tc>
        <w:tc>
          <w:tcPr>
            <w:tcW w:w="1573" w:type="dxa"/>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5109" w:type="dxa"/>
            <w:gridSpan w:val="3"/>
            <w:tcBorders>
              <w:top w:val="single" w:color="auto" w:sz="4" w:space="0"/>
              <w:left w:val="single" w:color="auto" w:sz="4" w:space="0"/>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收入</w:t>
            </w:r>
          </w:p>
        </w:tc>
        <w:tc>
          <w:tcPr>
            <w:tcW w:w="10412" w:type="dxa"/>
            <w:gridSpan w:val="8"/>
            <w:tcBorders>
              <w:top w:val="single" w:color="auto" w:sz="4" w:space="0"/>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支出</w:t>
            </w: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436" w:type="dxa"/>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078" w:type="dxa"/>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金额</w:t>
            </w:r>
          </w:p>
        </w:tc>
        <w:tc>
          <w:tcPr>
            <w:tcW w:w="3411"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项    目</w:t>
            </w:r>
          </w:p>
        </w:tc>
        <w:tc>
          <w:tcPr>
            <w:tcW w:w="1067"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行次</w:t>
            </w:r>
          </w:p>
        </w:tc>
        <w:tc>
          <w:tcPr>
            <w:tcW w:w="1573" w:type="dxa"/>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1394" w:type="dxa"/>
            <w:tcBorders>
              <w:top w:val="nil"/>
              <w:left w:val="nil"/>
              <w:bottom w:val="single" w:color="auto" w:sz="4" w:space="0"/>
              <w:right w:val="single" w:color="auto" w:sz="4" w:space="0"/>
            </w:tcBorders>
            <w:shd w:val="clear" w:color="000000" w:fill="BEBEBE" w:themeFill="background1" w:themeFillShade="B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一般公共预算财政拨款</w:t>
            </w:r>
          </w:p>
        </w:tc>
        <w:tc>
          <w:tcPr>
            <w:tcW w:w="1394" w:type="dxa"/>
            <w:tcBorders>
              <w:top w:val="nil"/>
              <w:left w:val="nil"/>
              <w:bottom w:val="single" w:color="auto" w:sz="4" w:space="0"/>
              <w:right w:val="single" w:color="auto" w:sz="4" w:space="0"/>
            </w:tcBorders>
            <w:shd w:val="clear" w:color="000000" w:fill="BEBEBE" w:themeFill="background1" w:themeFillShade="B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政府性基金预算财政拨款</w:t>
            </w:r>
          </w:p>
        </w:tc>
        <w:tc>
          <w:tcPr>
            <w:tcW w:w="1573" w:type="dxa"/>
            <w:tcBorders>
              <w:top w:val="nil"/>
              <w:left w:val="nil"/>
              <w:bottom w:val="single" w:color="auto" w:sz="4" w:space="0"/>
              <w:right w:val="single" w:color="auto" w:sz="4" w:space="0"/>
            </w:tcBorders>
            <w:shd w:val="clear" w:color="000000" w:fill="BEBEBE" w:themeFill="background1" w:themeFillShade="B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国有资本经营预算财政拨款</w:t>
            </w: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    次</w:t>
            </w:r>
          </w:p>
        </w:tc>
        <w:tc>
          <w:tcPr>
            <w:tcW w:w="436" w:type="dxa"/>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078" w:type="dxa"/>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3411"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栏    次</w:t>
            </w:r>
          </w:p>
        </w:tc>
        <w:tc>
          <w:tcPr>
            <w:tcW w:w="1067" w:type="dxa"/>
            <w:gridSpan w:val="2"/>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73" w:type="dxa"/>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394" w:type="dxa"/>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394" w:type="dxa"/>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573" w:type="dxa"/>
            <w:tcBorders>
              <w:top w:val="nil"/>
              <w:left w:val="nil"/>
              <w:bottom w:val="single" w:color="auto" w:sz="4" w:space="0"/>
              <w:right w:val="single" w:color="auto" w:sz="4" w:space="0"/>
            </w:tcBorders>
            <w:shd w:val="clear" w:color="000000"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一、一般公共预算财政拨款</w:t>
            </w: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1825.76　</w:t>
            </w: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一、一般公共服务支出</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二、政府性基金预算财政拨款</w:t>
            </w: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二、外交支出</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三、国有资本经营预算财政拨款</w:t>
            </w: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三、国防支出</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四、公共安全支出</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1592.07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1592.07</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五、教育支出</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六、科学技术支出</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七、文化旅游体育与传媒支出</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八、社会保障和就业支出</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86.42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86.42</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九、卫生健康支出</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41.6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41.6</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十、节能环保支出</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十一、城乡社区支出</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十二、农林水支出</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十三、交通运输支出</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十四、资源勘探工业信息等支出</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十五、商业服务业等支出</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十六、金融支出</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十七、援助其他地区支出</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十八、自然资源海洋气象等支出</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十九、住房保障支出</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105</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二十、粮油物资储备支出</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二十一、国有资本经营预算支出</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二十二、灾害防治及应急管理支出</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二十三、其他支出</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56</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二十四、债务还本支出</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57</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二十五、债务付息支出</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58</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二十六、抗疫特别国债安排的支出</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59</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27</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60</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本年收入合计</w:t>
            </w: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28</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0"/>
                <w:szCs w:val="20"/>
              </w:rPr>
            </w:pPr>
            <w:r>
              <w:rPr>
                <w:rFonts w:hint="eastAsia" w:ascii="宋体" w:hAnsi="宋体" w:eastAsia="宋体" w:cs="宋体"/>
                <w:b/>
                <w:kern w:val="0"/>
                <w:sz w:val="20"/>
                <w:szCs w:val="20"/>
              </w:rPr>
              <w:t>1825.76</w:t>
            </w: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本年支出合计</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61</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　1827.09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　1827.09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年初财政拨款结转和结余</w:t>
            </w: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23.32</w:t>
            </w: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年末财政拨款结转和结余</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62</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21.99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21.99</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一般公共预算财政拨款</w:t>
            </w: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30</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23.32</w:t>
            </w: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63</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政府性基金预算财政拨款</w:t>
            </w: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31</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64</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xml:space="preserve">          国有资本经营预算财政拨款</w:t>
            </w: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32</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kern w:val="0"/>
                <w:sz w:val="20"/>
                <w:szCs w:val="20"/>
              </w:rPr>
            </w:pPr>
            <w:r>
              <w:rPr>
                <w:rFonts w:hint="eastAsia" w:ascii="宋体" w:hAnsi="宋体" w:eastAsia="宋体" w:cs="宋体"/>
                <w:kern w:val="0"/>
                <w:sz w:val="20"/>
                <w:szCs w:val="20"/>
              </w:rPr>
              <w:t>　</w:t>
            </w: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65</w:t>
            </w:r>
          </w:p>
        </w:tc>
        <w:tc>
          <w:tcPr>
            <w:tcW w:w="157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3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0" w:hRule="atLeast"/>
        </w:trPr>
        <w:tc>
          <w:tcPr>
            <w:tcW w:w="3595" w:type="dxa"/>
            <w:tcBorders>
              <w:top w:val="nil"/>
              <w:left w:val="single" w:color="auto" w:sz="4" w:space="0"/>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总计</w:t>
            </w:r>
          </w:p>
        </w:tc>
        <w:tc>
          <w:tcPr>
            <w:tcW w:w="436" w:type="dxa"/>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33</w:t>
            </w:r>
          </w:p>
        </w:tc>
        <w:tc>
          <w:tcPr>
            <w:tcW w:w="1078"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eastAsia="宋体" w:cs="宋体"/>
                <w:b/>
                <w:kern w:val="0"/>
                <w:sz w:val="20"/>
                <w:szCs w:val="20"/>
              </w:rPr>
            </w:pPr>
            <w:r>
              <w:rPr>
                <w:rFonts w:hint="eastAsia" w:ascii="宋体" w:hAnsi="宋体" w:eastAsia="宋体" w:cs="宋体"/>
                <w:b/>
                <w:kern w:val="0"/>
                <w:sz w:val="20"/>
                <w:szCs w:val="20"/>
              </w:rPr>
              <w:t>1849.08</w:t>
            </w:r>
          </w:p>
        </w:tc>
        <w:tc>
          <w:tcPr>
            <w:tcW w:w="3411"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总计</w:t>
            </w:r>
          </w:p>
        </w:tc>
        <w:tc>
          <w:tcPr>
            <w:tcW w:w="1067" w:type="dxa"/>
            <w:gridSpan w:val="2"/>
            <w:tcBorders>
              <w:top w:val="nil"/>
              <w:left w:val="nil"/>
              <w:bottom w:val="single" w:color="auto" w:sz="4" w:space="0"/>
              <w:right w:val="single" w:color="auto" w:sz="4" w:space="0"/>
            </w:tcBorders>
            <w:shd w:val="clear" w:color="auto" w:fill="BEBEBE" w:themeFill="background1" w:themeFillShade="BF"/>
            <w:noWrap/>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66</w:t>
            </w:r>
          </w:p>
        </w:tc>
        <w:tc>
          <w:tcPr>
            <w:tcW w:w="1573"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　1849.08</w:t>
            </w:r>
          </w:p>
        </w:tc>
        <w:tc>
          <w:tcPr>
            <w:tcW w:w="1394" w:type="dxa"/>
            <w:tcBorders>
              <w:top w:val="nil"/>
              <w:left w:val="nil"/>
              <w:bottom w:val="single" w:color="auto" w:sz="4" w:space="0"/>
              <w:right w:val="single" w:color="auto" w:sz="4" w:space="0"/>
            </w:tcBorders>
            <w:shd w:val="clear" w:color="000000" w:fill="FFFFFF"/>
            <w:noWrap/>
            <w:vAlign w:val="center"/>
          </w:tcPr>
          <w:p>
            <w:pPr>
              <w:widowControl/>
              <w:jc w:val="center"/>
              <w:rPr>
                <w:rFonts w:ascii="宋体" w:hAnsi="宋体" w:eastAsia="宋体" w:cs="宋体"/>
                <w:b/>
                <w:kern w:val="0"/>
                <w:sz w:val="20"/>
                <w:szCs w:val="20"/>
              </w:rPr>
            </w:pPr>
            <w:r>
              <w:rPr>
                <w:rFonts w:hint="eastAsia" w:ascii="宋体" w:hAnsi="宋体" w:eastAsia="宋体" w:cs="宋体"/>
                <w:b/>
                <w:kern w:val="0"/>
                <w:sz w:val="20"/>
                <w:szCs w:val="20"/>
              </w:rPr>
              <w:t>1849.08</w:t>
            </w:r>
          </w:p>
        </w:tc>
        <w:tc>
          <w:tcPr>
            <w:tcW w:w="1394"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c>
          <w:tcPr>
            <w:tcW w:w="1573"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CellMar>
            <w:top w:w="0" w:type="dxa"/>
            <w:left w:w="108" w:type="dxa"/>
            <w:bottom w:w="0" w:type="dxa"/>
            <w:right w:w="108" w:type="dxa"/>
          </w:tblCellMar>
        </w:tblPrEx>
        <w:trPr>
          <w:trHeight w:val="585" w:hRule="atLeast"/>
        </w:trPr>
        <w:tc>
          <w:tcPr>
            <w:tcW w:w="15521" w:type="dxa"/>
            <w:gridSpan w:val="11"/>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注：本表反映部门本年度一般公共预算财政拨款、政府性基金预算财政拨款和国有资本经营预算财政拨款的总收支和年末结转结余情况。</w:t>
            </w:r>
          </w:p>
        </w:tc>
      </w:tr>
    </w:tbl>
    <w:p>
      <w:pPr>
        <w:widowControl/>
        <w:jc w:val="center"/>
        <w:rPr>
          <w:rFonts w:ascii="Times New Roman" w:hAnsi="Times New Roman" w:eastAsia="方正小标宋_GBK" w:cs="Times New Roman"/>
          <w:kern w:val="0"/>
          <w:sz w:val="36"/>
          <w:szCs w:val="36"/>
        </w:rPr>
      </w:pPr>
    </w:p>
    <w:p>
      <w:pPr>
        <w:widowControl/>
        <w:rPr>
          <w:rFonts w:ascii="Times New Roman" w:hAnsi="Times New Roman" w:eastAsia="方正小标宋_GBK" w:cs="Times New Roman"/>
          <w:kern w:val="0"/>
          <w:sz w:val="36"/>
          <w:szCs w:val="36"/>
        </w:rPr>
      </w:pPr>
    </w:p>
    <w:p>
      <w:pPr>
        <w:widowControl/>
        <w:rPr>
          <w:rFonts w:ascii="Times New Roman" w:hAnsi="Times New Roman" w:eastAsia="方正小标宋_GBK" w:cs="Times New Roman"/>
          <w:kern w:val="0"/>
          <w:sz w:val="36"/>
          <w:szCs w:val="36"/>
        </w:rPr>
      </w:pPr>
    </w:p>
    <w:p>
      <w:pPr>
        <w:widowControl/>
        <w:rPr>
          <w:rFonts w:ascii="Times New Roman" w:hAnsi="Times New Roman" w:eastAsia="方正小标宋_GBK" w:cs="Times New Roman"/>
          <w:kern w:val="0"/>
          <w:sz w:val="36"/>
          <w:szCs w:val="36"/>
        </w:rPr>
      </w:pPr>
    </w:p>
    <w:p>
      <w:pPr>
        <w:widowControl/>
        <w:rPr>
          <w:rFonts w:ascii="Times New Roman" w:hAnsi="Times New Roman" w:eastAsia="方正小标宋_GBK" w:cs="Times New Roman"/>
          <w:kern w:val="0"/>
          <w:sz w:val="36"/>
          <w:szCs w:val="36"/>
        </w:rPr>
      </w:pPr>
    </w:p>
    <w:p>
      <w:pPr>
        <w:widowControl/>
        <w:rPr>
          <w:rFonts w:ascii="Times New Roman" w:hAnsi="Times New Roman" w:eastAsia="方正小标宋_GBK" w:cs="Times New Roman"/>
          <w:kern w:val="0"/>
          <w:sz w:val="36"/>
          <w:szCs w:val="36"/>
        </w:rPr>
      </w:pPr>
    </w:p>
    <w:p>
      <w:pPr>
        <w:widowControl/>
        <w:rPr>
          <w:rFonts w:ascii="Times New Roman" w:hAnsi="Times New Roman" w:eastAsia="方正小标宋_GBK" w:cs="Times New Roman"/>
          <w:kern w:val="0"/>
          <w:sz w:val="36"/>
          <w:szCs w:val="36"/>
        </w:rPr>
      </w:pPr>
    </w:p>
    <w:p>
      <w:pPr>
        <w:widowControl/>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一般公共预算财政拨款支出决算表</w:t>
      </w:r>
      <w:bookmarkEnd w:id="3"/>
    </w:p>
    <w:tbl>
      <w:tblPr>
        <w:tblStyle w:val="6"/>
        <w:tblW w:w="15045" w:type="dxa"/>
        <w:tblInd w:w="91" w:type="dxa"/>
        <w:tblLayout w:type="autofit"/>
        <w:tblCellMar>
          <w:top w:w="0" w:type="dxa"/>
          <w:left w:w="108" w:type="dxa"/>
          <w:bottom w:w="0" w:type="dxa"/>
          <w:right w:w="108" w:type="dxa"/>
        </w:tblCellMar>
      </w:tblPr>
      <w:tblGrid>
        <w:gridCol w:w="820"/>
        <w:gridCol w:w="819"/>
        <w:gridCol w:w="819"/>
        <w:gridCol w:w="3920"/>
        <w:gridCol w:w="2260"/>
        <w:gridCol w:w="2260"/>
        <w:gridCol w:w="4147"/>
      </w:tblGrid>
      <w:tr>
        <w:tblPrEx>
          <w:tblCellMar>
            <w:top w:w="0" w:type="dxa"/>
            <w:left w:w="108" w:type="dxa"/>
            <w:bottom w:w="0" w:type="dxa"/>
            <w:right w:w="108" w:type="dxa"/>
          </w:tblCellMar>
        </w:tblPrEx>
        <w:trPr>
          <w:trHeight w:val="567" w:hRule="atLeast"/>
        </w:trPr>
        <w:tc>
          <w:tcPr>
            <w:tcW w:w="8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1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19"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92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60" w:type="dxa"/>
            <w:tcBorders>
              <w:top w:val="nil"/>
              <w:left w:val="nil"/>
              <w:bottom w:val="nil"/>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4147" w:type="dxa"/>
            <w:tcBorders>
              <w:top w:val="nil"/>
              <w:left w:val="nil"/>
              <w:bottom w:val="nil"/>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r>
              <w:rPr>
                <w:rFonts w:hint="eastAsia" w:ascii="宋体" w:hAnsi="宋体" w:eastAsia="宋体" w:cs="Arial"/>
                <w:color w:val="000000"/>
                <w:kern w:val="0"/>
                <w:sz w:val="22"/>
              </w:rPr>
              <w:t>公开05表</w:t>
            </w:r>
          </w:p>
        </w:tc>
      </w:tr>
      <w:tr>
        <w:tblPrEx>
          <w:tblCellMar>
            <w:top w:w="0" w:type="dxa"/>
            <w:left w:w="108" w:type="dxa"/>
            <w:bottom w:w="0" w:type="dxa"/>
            <w:right w:w="108" w:type="dxa"/>
          </w:tblCellMar>
        </w:tblPrEx>
        <w:trPr>
          <w:trHeight w:val="567" w:hRule="atLeast"/>
        </w:trPr>
        <w:tc>
          <w:tcPr>
            <w:tcW w:w="2458" w:type="dxa"/>
            <w:gridSpan w:val="3"/>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部门：涟源市人民检察院</w:t>
            </w:r>
          </w:p>
        </w:tc>
        <w:tc>
          <w:tcPr>
            <w:tcW w:w="3920" w:type="dxa"/>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20"/>
                <w:szCs w:val="20"/>
              </w:rPr>
            </w:pPr>
            <w:r>
              <w:rPr>
                <w:rFonts w:hint="eastAsia" w:ascii="宋体" w:hAnsi="宋体" w:eastAsia="宋体" w:cs="Arial"/>
                <w:color w:val="000000"/>
                <w:kern w:val="0"/>
                <w:sz w:val="20"/>
                <w:szCs w:val="20"/>
              </w:rPr>
              <w:t>2021年度</w:t>
            </w:r>
          </w:p>
        </w:tc>
        <w:tc>
          <w:tcPr>
            <w:tcW w:w="226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2260"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4147" w:type="dxa"/>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20"/>
                <w:szCs w:val="20"/>
              </w:rPr>
            </w:pPr>
            <w:r>
              <w:rPr>
                <w:rFonts w:hint="eastAsia" w:ascii="宋体" w:hAnsi="宋体" w:eastAsia="宋体" w:cs="Arial"/>
                <w:color w:val="000000"/>
                <w:kern w:val="0"/>
                <w:sz w:val="20"/>
                <w:szCs w:val="20"/>
              </w:rPr>
              <w:t>金额单位：万元</w:t>
            </w:r>
          </w:p>
        </w:tc>
      </w:tr>
      <w:tr>
        <w:tblPrEx>
          <w:tblCellMar>
            <w:top w:w="0" w:type="dxa"/>
            <w:left w:w="108" w:type="dxa"/>
            <w:bottom w:w="0" w:type="dxa"/>
            <w:right w:w="108" w:type="dxa"/>
          </w:tblCellMar>
        </w:tblPrEx>
        <w:trPr>
          <w:trHeight w:val="340" w:hRule="atLeast"/>
        </w:trPr>
        <w:tc>
          <w:tcPr>
            <w:tcW w:w="6378" w:type="dxa"/>
            <w:gridSpan w:val="4"/>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项目</w:t>
            </w:r>
          </w:p>
        </w:tc>
        <w:tc>
          <w:tcPr>
            <w:tcW w:w="8667" w:type="dxa"/>
            <w:gridSpan w:val="3"/>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r>
      <w:tr>
        <w:tblPrEx>
          <w:tblCellMar>
            <w:top w:w="0" w:type="dxa"/>
            <w:left w:w="108" w:type="dxa"/>
            <w:bottom w:w="0" w:type="dxa"/>
            <w:right w:w="108" w:type="dxa"/>
          </w:tblCellMar>
        </w:tblPrEx>
        <w:trPr>
          <w:trHeight w:val="340" w:hRule="atLeast"/>
        </w:trPr>
        <w:tc>
          <w:tcPr>
            <w:tcW w:w="2458" w:type="dxa"/>
            <w:gridSpan w:val="3"/>
            <w:vMerge w:val="restart"/>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3920" w:type="dxa"/>
            <w:vMerge w:val="restart"/>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2260"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小计</w:t>
            </w:r>
          </w:p>
        </w:tc>
        <w:tc>
          <w:tcPr>
            <w:tcW w:w="2260"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基本支出</w:t>
            </w:r>
          </w:p>
        </w:tc>
        <w:tc>
          <w:tcPr>
            <w:tcW w:w="4147"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r>
      <w:tr>
        <w:tblPrEx>
          <w:tblCellMar>
            <w:top w:w="0" w:type="dxa"/>
            <w:left w:w="108" w:type="dxa"/>
            <w:bottom w:w="0" w:type="dxa"/>
            <w:right w:w="108" w:type="dxa"/>
          </w:tblCellMar>
        </w:tblPrEx>
        <w:trPr>
          <w:trHeight w:val="340" w:hRule="atLeast"/>
        </w:trPr>
        <w:tc>
          <w:tcPr>
            <w:tcW w:w="2458" w:type="dxa"/>
            <w:gridSpan w:val="3"/>
            <w:vMerge w:val="continue"/>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3920"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2260"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2260"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4147"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40" w:hRule="atLeast"/>
        </w:trPr>
        <w:tc>
          <w:tcPr>
            <w:tcW w:w="2458" w:type="dxa"/>
            <w:gridSpan w:val="3"/>
            <w:vMerge w:val="continue"/>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3920"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2260"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2260"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4147"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40" w:hRule="atLeast"/>
        </w:trPr>
        <w:tc>
          <w:tcPr>
            <w:tcW w:w="6378" w:type="dxa"/>
            <w:gridSpan w:val="4"/>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226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26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4147"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r>
      <w:tr>
        <w:tblPrEx>
          <w:tblCellMar>
            <w:top w:w="0" w:type="dxa"/>
            <w:left w:w="108" w:type="dxa"/>
            <w:bottom w:w="0" w:type="dxa"/>
            <w:right w:w="108" w:type="dxa"/>
          </w:tblCellMar>
        </w:tblPrEx>
        <w:trPr>
          <w:trHeight w:val="340" w:hRule="atLeast"/>
        </w:trPr>
        <w:tc>
          <w:tcPr>
            <w:tcW w:w="6378" w:type="dxa"/>
            <w:gridSpan w:val="4"/>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合计</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1,827.09</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1,654.47</w:t>
            </w:r>
          </w:p>
        </w:tc>
        <w:tc>
          <w:tcPr>
            <w:tcW w:w="414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172.62</w:t>
            </w:r>
          </w:p>
        </w:tc>
      </w:tr>
      <w:tr>
        <w:tblPrEx>
          <w:tblCellMar>
            <w:top w:w="0" w:type="dxa"/>
            <w:left w:w="108" w:type="dxa"/>
            <w:bottom w:w="0" w:type="dxa"/>
            <w:right w:w="108" w:type="dxa"/>
          </w:tblCellMar>
        </w:tblPrEx>
        <w:trPr>
          <w:trHeight w:val="340" w:hRule="atLeast"/>
        </w:trPr>
        <w:tc>
          <w:tcPr>
            <w:tcW w:w="2458"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204</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公共安全支出</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1,592.07</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1,419.45</w:t>
            </w:r>
          </w:p>
        </w:tc>
        <w:tc>
          <w:tcPr>
            <w:tcW w:w="414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172.62</w:t>
            </w:r>
          </w:p>
        </w:tc>
      </w:tr>
      <w:tr>
        <w:tblPrEx>
          <w:tblCellMar>
            <w:top w:w="0" w:type="dxa"/>
            <w:left w:w="108" w:type="dxa"/>
            <w:bottom w:w="0" w:type="dxa"/>
            <w:right w:w="108" w:type="dxa"/>
          </w:tblCellMar>
        </w:tblPrEx>
        <w:trPr>
          <w:trHeight w:val="340" w:hRule="atLeast"/>
        </w:trPr>
        <w:tc>
          <w:tcPr>
            <w:tcW w:w="2458"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20402</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公安</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29.00</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26.00</w:t>
            </w:r>
          </w:p>
        </w:tc>
        <w:tc>
          <w:tcPr>
            <w:tcW w:w="414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3.00</w:t>
            </w:r>
          </w:p>
        </w:tc>
      </w:tr>
      <w:tr>
        <w:tblPrEx>
          <w:tblCellMar>
            <w:top w:w="0" w:type="dxa"/>
            <w:left w:w="108" w:type="dxa"/>
            <w:bottom w:w="0" w:type="dxa"/>
            <w:right w:w="108" w:type="dxa"/>
          </w:tblCellMar>
        </w:tblPrEx>
        <w:trPr>
          <w:trHeight w:val="340" w:hRule="atLeast"/>
        </w:trPr>
        <w:tc>
          <w:tcPr>
            <w:tcW w:w="2458"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2040201</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26.00</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26.00</w:t>
            </w:r>
          </w:p>
        </w:tc>
        <w:tc>
          <w:tcPr>
            <w:tcW w:w="414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40" w:hRule="atLeast"/>
        </w:trPr>
        <w:tc>
          <w:tcPr>
            <w:tcW w:w="2458"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2040202</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一般行政管理事务</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3.00</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14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3.00</w:t>
            </w:r>
          </w:p>
        </w:tc>
      </w:tr>
      <w:tr>
        <w:tblPrEx>
          <w:tblCellMar>
            <w:top w:w="0" w:type="dxa"/>
            <w:left w:w="108" w:type="dxa"/>
            <w:bottom w:w="0" w:type="dxa"/>
            <w:right w:w="108" w:type="dxa"/>
          </w:tblCellMar>
        </w:tblPrEx>
        <w:trPr>
          <w:trHeight w:val="340" w:hRule="atLeast"/>
        </w:trPr>
        <w:tc>
          <w:tcPr>
            <w:tcW w:w="2458"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20404</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检察</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1,563.07</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1,393.45</w:t>
            </w:r>
          </w:p>
        </w:tc>
        <w:tc>
          <w:tcPr>
            <w:tcW w:w="414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169.62</w:t>
            </w:r>
          </w:p>
        </w:tc>
      </w:tr>
      <w:tr>
        <w:tblPrEx>
          <w:tblCellMar>
            <w:top w:w="0" w:type="dxa"/>
            <w:left w:w="108" w:type="dxa"/>
            <w:bottom w:w="0" w:type="dxa"/>
            <w:right w:w="108" w:type="dxa"/>
          </w:tblCellMar>
        </w:tblPrEx>
        <w:trPr>
          <w:trHeight w:val="340" w:hRule="atLeast"/>
        </w:trPr>
        <w:tc>
          <w:tcPr>
            <w:tcW w:w="2458"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2040401</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行政运行</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1,393.45</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1,393.45</w:t>
            </w:r>
          </w:p>
        </w:tc>
        <w:tc>
          <w:tcPr>
            <w:tcW w:w="414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40" w:hRule="atLeast"/>
        </w:trPr>
        <w:tc>
          <w:tcPr>
            <w:tcW w:w="2458"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2040402</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一般行政管理事务</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145.62</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14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145.62</w:t>
            </w:r>
          </w:p>
        </w:tc>
      </w:tr>
      <w:tr>
        <w:tblPrEx>
          <w:tblCellMar>
            <w:top w:w="0" w:type="dxa"/>
            <w:left w:w="108" w:type="dxa"/>
            <w:bottom w:w="0" w:type="dxa"/>
            <w:right w:w="108" w:type="dxa"/>
          </w:tblCellMar>
        </w:tblPrEx>
        <w:trPr>
          <w:trHeight w:val="340" w:hRule="atLeast"/>
        </w:trPr>
        <w:tc>
          <w:tcPr>
            <w:tcW w:w="2458"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2040410</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检察监督</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24.00</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414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24.00</w:t>
            </w:r>
          </w:p>
        </w:tc>
      </w:tr>
      <w:tr>
        <w:tblPrEx>
          <w:tblCellMar>
            <w:top w:w="0" w:type="dxa"/>
            <w:left w:w="108" w:type="dxa"/>
            <w:bottom w:w="0" w:type="dxa"/>
            <w:right w:w="108" w:type="dxa"/>
          </w:tblCellMar>
        </w:tblPrEx>
        <w:trPr>
          <w:trHeight w:val="340" w:hRule="atLeast"/>
        </w:trPr>
        <w:tc>
          <w:tcPr>
            <w:tcW w:w="2458"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205</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教育支出</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2.00</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2.00</w:t>
            </w:r>
          </w:p>
        </w:tc>
        <w:tc>
          <w:tcPr>
            <w:tcW w:w="414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40" w:hRule="atLeast"/>
        </w:trPr>
        <w:tc>
          <w:tcPr>
            <w:tcW w:w="2458"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20508</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进修及培训</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2.00</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2.00</w:t>
            </w:r>
          </w:p>
        </w:tc>
        <w:tc>
          <w:tcPr>
            <w:tcW w:w="414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40" w:hRule="atLeast"/>
        </w:trPr>
        <w:tc>
          <w:tcPr>
            <w:tcW w:w="2458"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2050803</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培训支出</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w:t>
            </w:r>
          </w:p>
        </w:tc>
        <w:tc>
          <w:tcPr>
            <w:tcW w:w="414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40" w:hRule="atLeast"/>
        </w:trPr>
        <w:tc>
          <w:tcPr>
            <w:tcW w:w="2458"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社会保障和就业支出</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86.42</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86.42</w:t>
            </w:r>
          </w:p>
        </w:tc>
        <w:tc>
          <w:tcPr>
            <w:tcW w:w="414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40" w:hRule="atLeast"/>
        </w:trPr>
        <w:tc>
          <w:tcPr>
            <w:tcW w:w="2458"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20805</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行政事业单位养老支出</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79.20</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79.20</w:t>
            </w:r>
          </w:p>
        </w:tc>
        <w:tc>
          <w:tcPr>
            <w:tcW w:w="414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40" w:hRule="atLeast"/>
        </w:trPr>
        <w:tc>
          <w:tcPr>
            <w:tcW w:w="2458"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2080505</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机关事业单位基本养老保险缴费支出</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79.20</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79.20</w:t>
            </w:r>
          </w:p>
        </w:tc>
        <w:tc>
          <w:tcPr>
            <w:tcW w:w="414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40" w:hRule="atLeast"/>
        </w:trPr>
        <w:tc>
          <w:tcPr>
            <w:tcW w:w="2458"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20899</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其他社会保障和就业支出</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7.22</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7.22</w:t>
            </w:r>
          </w:p>
        </w:tc>
        <w:tc>
          <w:tcPr>
            <w:tcW w:w="414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40" w:hRule="atLeast"/>
        </w:trPr>
        <w:tc>
          <w:tcPr>
            <w:tcW w:w="2458"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2089999</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其他社会保障和就业支出</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7.22</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7.22</w:t>
            </w:r>
          </w:p>
        </w:tc>
        <w:tc>
          <w:tcPr>
            <w:tcW w:w="414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40" w:hRule="atLeast"/>
        </w:trPr>
        <w:tc>
          <w:tcPr>
            <w:tcW w:w="2458"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卫生健康支出</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41.60</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41.60</w:t>
            </w:r>
          </w:p>
        </w:tc>
        <w:tc>
          <w:tcPr>
            <w:tcW w:w="414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40" w:hRule="atLeast"/>
        </w:trPr>
        <w:tc>
          <w:tcPr>
            <w:tcW w:w="2458"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21011</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行政事业单位医疗</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41.60</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41.60</w:t>
            </w:r>
          </w:p>
        </w:tc>
        <w:tc>
          <w:tcPr>
            <w:tcW w:w="414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40" w:hRule="atLeast"/>
        </w:trPr>
        <w:tc>
          <w:tcPr>
            <w:tcW w:w="2458"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2101101</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行政单位医疗</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39.60</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39.60</w:t>
            </w:r>
          </w:p>
        </w:tc>
        <w:tc>
          <w:tcPr>
            <w:tcW w:w="414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40" w:hRule="atLeast"/>
        </w:trPr>
        <w:tc>
          <w:tcPr>
            <w:tcW w:w="2458"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2101103</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w:t>
            </w:r>
          </w:p>
        </w:tc>
        <w:tc>
          <w:tcPr>
            <w:tcW w:w="414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40" w:hRule="atLeast"/>
        </w:trPr>
        <w:tc>
          <w:tcPr>
            <w:tcW w:w="2458"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住房保障支出</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105.00</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105.00</w:t>
            </w:r>
          </w:p>
        </w:tc>
        <w:tc>
          <w:tcPr>
            <w:tcW w:w="414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40" w:hRule="atLeast"/>
        </w:trPr>
        <w:tc>
          <w:tcPr>
            <w:tcW w:w="2458"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22102</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b/>
                <w:bCs/>
                <w:kern w:val="0"/>
                <w:sz w:val="20"/>
                <w:szCs w:val="20"/>
              </w:rPr>
            </w:pPr>
            <w:r>
              <w:rPr>
                <w:rFonts w:hint="eastAsia" w:ascii="宋体" w:hAnsi="宋体" w:eastAsia="宋体" w:cs="Arial"/>
                <w:b/>
                <w:bCs/>
                <w:kern w:val="0"/>
                <w:sz w:val="20"/>
                <w:szCs w:val="20"/>
              </w:rPr>
              <w:t>住房改革支出</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105.00</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105.00</w:t>
            </w:r>
          </w:p>
        </w:tc>
        <w:tc>
          <w:tcPr>
            <w:tcW w:w="414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b/>
                <w:bCs/>
                <w:kern w:val="0"/>
                <w:sz w:val="20"/>
                <w:szCs w:val="20"/>
              </w:rPr>
            </w:pPr>
            <w:r>
              <w:rPr>
                <w:rFonts w:hint="eastAsia" w:ascii="宋体" w:hAnsi="宋体" w:eastAsia="宋体" w:cs="Arial"/>
                <w:b/>
                <w:bCs/>
                <w:kern w:val="0"/>
                <w:sz w:val="20"/>
                <w:szCs w:val="20"/>
              </w:rPr>
              <w:t>0.00</w:t>
            </w:r>
          </w:p>
        </w:tc>
      </w:tr>
      <w:tr>
        <w:tblPrEx>
          <w:tblCellMar>
            <w:top w:w="0" w:type="dxa"/>
            <w:left w:w="108" w:type="dxa"/>
            <w:bottom w:w="0" w:type="dxa"/>
            <w:right w:w="108" w:type="dxa"/>
          </w:tblCellMar>
        </w:tblPrEx>
        <w:trPr>
          <w:trHeight w:val="300" w:hRule="atLeast"/>
        </w:trPr>
        <w:tc>
          <w:tcPr>
            <w:tcW w:w="2458"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2210201</w:t>
            </w:r>
          </w:p>
        </w:tc>
        <w:tc>
          <w:tcPr>
            <w:tcW w:w="3920"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105.00</w:t>
            </w:r>
          </w:p>
        </w:tc>
        <w:tc>
          <w:tcPr>
            <w:tcW w:w="2260"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105.00</w:t>
            </w:r>
          </w:p>
        </w:tc>
        <w:tc>
          <w:tcPr>
            <w:tcW w:w="4147"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15045" w:type="dxa"/>
            <w:gridSpan w:val="7"/>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注：本表反映部门本年度一般公共预算财政拨款支出情况。</w:t>
            </w:r>
          </w:p>
        </w:tc>
      </w:tr>
    </w:tbl>
    <w:p>
      <w:pPr>
        <w:widowControl/>
        <w:jc w:val="center"/>
        <w:rPr>
          <w:rFonts w:ascii="Times New Roman" w:hAnsi="Times New Roman" w:eastAsia="方正小标宋_GBK" w:cs="Times New Roman"/>
          <w:kern w:val="0"/>
          <w:sz w:val="36"/>
          <w:szCs w:val="36"/>
        </w:rPr>
      </w:pPr>
    </w:p>
    <w:p>
      <w:pPr>
        <w:widowControl/>
        <w:jc w:val="left"/>
        <w:rPr>
          <w:rFonts w:ascii="Times New Roman" w:hAnsi="Times New Roman" w:eastAsia="仿宋_GB2312" w:cs="Times New Roman"/>
          <w:bCs/>
          <w:kern w:val="0"/>
          <w:szCs w:val="21"/>
        </w:rPr>
      </w:pPr>
    </w:p>
    <w:p>
      <w:pPr>
        <w:widowControl/>
        <w:jc w:val="left"/>
        <w:rPr>
          <w:rFonts w:ascii="Times New Roman" w:hAnsi="Times New Roman" w:eastAsia="仿宋_GB2312" w:cs="Times New Roman"/>
          <w:bCs/>
          <w:kern w:val="0"/>
          <w:szCs w:val="21"/>
        </w:rPr>
      </w:pPr>
      <w:r>
        <w:rPr>
          <w:rFonts w:ascii="Times New Roman" w:hAnsi="Times New Roman" w:eastAsia="仿宋_GB2312" w:cs="Times New Roman"/>
          <w:bCs/>
          <w:kern w:val="0"/>
          <w:szCs w:val="21"/>
        </w:rPr>
        <w:br w:type="page"/>
      </w:r>
    </w:p>
    <w:p>
      <w:pPr>
        <w:widowControl/>
        <w:jc w:val="left"/>
        <w:rPr>
          <w:rFonts w:ascii="Times New Roman" w:hAnsi="Times New Roman" w:eastAsia="仿宋_GB2312" w:cs="Times New Roman"/>
          <w:bCs/>
          <w:kern w:val="0"/>
          <w:szCs w:val="21"/>
        </w:rPr>
      </w:pPr>
    </w:p>
    <w:tbl>
      <w:tblPr>
        <w:tblStyle w:val="6"/>
        <w:tblW w:w="0" w:type="auto"/>
        <w:tblInd w:w="0" w:type="dxa"/>
        <w:tblLayout w:type="autofit"/>
        <w:tblCellMar>
          <w:top w:w="0" w:type="dxa"/>
          <w:left w:w="108" w:type="dxa"/>
          <w:bottom w:w="0" w:type="dxa"/>
          <w:right w:w="108" w:type="dxa"/>
        </w:tblCellMar>
      </w:tblPr>
      <w:tblGrid>
        <w:gridCol w:w="14960"/>
      </w:tblGrid>
      <w:tr>
        <w:tblPrEx>
          <w:tblCellMar>
            <w:top w:w="0" w:type="dxa"/>
            <w:left w:w="108" w:type="dxa"/>
            <w:bottom w:w="0" w:type="dxa"/>
            <w:right w:w="108" w:type="dxa"/>
          </w:tblCellMar>
        </w:tblPrEx>
        <w:trPr>
          <w:trHeight w:val="113" w:hRule="atLeast"/>
        </w:trPr>
        <w:tc>
          <w:tcPr>
            <w:tcW w:w="0" w:type="auto"/>
            <w:tcBorders>
              <w:top w:val="nil"/>
              <w:left w:val="nil"/>
              <w:bottom w:val="nil"/>
              <w:right w:val="nil"/>
            </w:tcBorders>
            <w:shd w:val="clear" w:color="auto" w:fill="auto"/>
            <w:noWrap/>
            <w:vAlign w:val="center"/>
          </w:tcPr>
          <w:p>
            <w:pPr>
              <w:widowControl/>
              <w:jc w:val="center"/>
              <w:rPr>
                <w:rFonts w:ascii="华文中宋" w:hAnsi="华文中宋" w:eastAsia="华文中宋" w:cs="宋体"/>
                <w:color w:val="000000"/>
                <w:kern w:val="0"/>
                <w:sz w:val="36"/>
                <w:szCs w:val="36"/>
              </w:rPr>
            </w:pPr>
            <w:bookmarkStart w:id="4" w:name="RANGE!A1:I34"/>
            <w:r>
              <w:rPr>
                <w:rFonts w:hint="eastAsia" w:ascii="华文中宋" w:hAnsi="华文中宋" w:eastAsia="华文中宋" w:cs="宋体"/>
                <w:color w:val="000000"/>
                <w:kern w:val="0"/>
                <w:sz w:val="36"/>
                <w:szCs w:val="36"/>
              </w:rPr>
              <w:t>一般公共预算财政拨款基本支出决算明细表</w:t>
            </w:r>
            <w:bookmarkEnd w:id="4"/>
          </w:p>
          <w:p>
            <w:pPr>
              <w:widowControl/>
              <w:wordWrap w:val="0"/>
              <w:ind w:right="420"/>
              <w:jc w:val="right"/>
              <w:rPr>
                <w:rFonts w:ascii="Times New Roman" w:hAnsi="Times New Roman" w:eastAsia="仿宋_GB2312" w:cs="Times New Roman"/>
                <w:color w:val="000000"/>
                <w:kern w:val="0"/>
                <w:szCs w:val="21"/>
              </w:rPr>
            </w:pPr>
            <w:r>
              <w:rPr>
                <w:rFonts w:hint="eastAsia" w:ascii="Times New Roman" w:hAnsi="Times New Roman" w:eastAsia="仿宋_GB2312" w:cs="Times New Roman"/>
                <w:color w:val="000000"/>
                <w:kern w:val="0"/>
                <w:szCs w:val="21"/>
              </w:rPr>
              <w:t>公开06表</w:t>
            </w:r>
          </w:p>
          <w:p>
            <w:pPr>
              <w:widowControl/>
              <w:ind w:right="420"/>
              <w:jc w:val="right"/>
              <w:rPr>
                <w:rFonts w:ascii="华文中宋" w:hAnsi="华文中宋" w:eastAsia="华文中宋" w:cs="宋体"/>
                <w:color w:val="000000"/>
                <w:kern w:val="0"/>
                <w:szCs w:val="32"/>
              </w:rPr>
            </w:pPr>
            <w:r>
              <w:rPr>
                <w:rFonts w:hint="eastAsia" w:ascii="Times New Roman" w:hAnsi="Times New Roman" w:eastAsia="仿宋_GB2312" w:cs="Times New Roman"/>
                <w:color w:val="000000"/>
                <w:kern w:val="0"/>
                <w:szCs w:val="21"/>
              </w:rPr>
              <w:t>单位：万元</w:t>
            </w:r>
          </w:p>
          <w:tbl>
            <w:tblPr>
              <w:tblStyle w:val="6"/>
              <w:tblW w:w="14744" w:type="dxa"/>
              <w:tblInd w:w="0" w:type="dxa"/>
              <w:tblLayout w:type="autofit"/>
              <w:tblCellMar>
                <w:top w:w="0" w:type="dxa"/>
                <w:left w:w="108" w:type="dxa"/>
                <w:bottom w:w="0" w:type="dxa"/>
                <w:right w:w="108" w:type="dxa"/>
              </w:tblCellMar>
            </w:tblPr>
            <w:tblGrid>
              <w:gridCol w:w="716"/>
              <w:gridCol w:w="2871"/>
              <w:gridCol w:w="1488"/>
              <w:gridCol w:w="716"/>
              <w:gridCol w:w="2276"/>
              <w:gridCol w:w="1488"/>
              <w:gridCol w:w="716"/>
              <w:gridCol w:w="3054"/>
              <w:gridCol w:w="603"/>
              <w:gridCol w:w="816"/>
            </w:tblGrid>
            <w:tr>
              <w:tblPrEx>
                <w:tblCellMar>
                  <w:top w:w="0" w:type="dxa"/>
                  <w:left w:w="108" w:type="dxa"/>
                  <w:bottom w:w="0" w:type="dxa"/>
                  <w:right w:w="108" w:type="dxa"/>
                </w:tblCellMar>
              </w:tblPrEx>
              <w:trPr>
                <w:trHeight w:val="300" w:hRule="atLeast"/>
              </w:trPr>
              <w:tc>
                <w:tcPr>
                  <w:tcW w:w="3587" w:type="dxa"/>
                  <w:gridSpan w:val="2"/>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color w:val="000000"/>
                      <w:kern w:val="0"/>
                      <w:sz w:val="20"/>
                      <w:szCs w:val="20"/>
                    </w:rPr>
                  </w:pPr>
                  <w:r>
                    <w:rPr>
                      <w:rFonts w:hint="eastAsia" w:ascii="宋体" w:hAnsi="宋体" w:eastAsia="宋体" w:cs="Arial"/>
                      <w:color w:val="000000"/>
                      <w:kern w:val="0"/>
                      <w:sz w:val="20"/>
                      <w:szCs w:val="20"/>
                    </w:rPr>
                    <w:t>部门：涟源市人民检察院</w:t>
                  </w:r>
                </w:p>
              </w:tc>
              <w:tc>
                <w:tcPr>
                  <w:tcW w:w="1488"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16"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2276" w:type="dxa"/>
                  <w:tcBorders>
                    <w:top w:val="nil"/>
                    <w:left w:val="nil"/>
                    <w:bottom w:val="single" w:color="808080" w:sz="4" w:space="0"/>
                    <w:right w:val="nil"/>
                  </w:tcBorders>
                  <w:shd w:val="clear" w:color="000000" w:fill="FFFFFF"/>
                  <w:noWrap/>
                  <w:vAlign w:val="center"/>
                </w:tcPr>
                <w:p>
                  <w:pPr>
                    <w:widowControl/>
                    <w:jc w:val="center"/>
                    <w:rPr>
                      <w:rFonts w:ascii="宋体" w:hAnsi="宋体" w:eastAsia="宋体" w:cs="Arial"/>
                      <w:color w:val="000000"/>
                      <w:kern w:val="0"/>
                      <w:sz w:val="22"/>
                    </w:rPr>
                  </w:pPr>
                  <w:r>
                    <w:rPr>
                      <w:rFonts w:hint="eastAsia" w:ascii="宋体" w:hAnsi="宋体" w:eastAsia="宋体" w:cs="Arial"/>
                      <w:color w:val="000000"/>
                      <w:kern w:val="0"/>
                      <w:sz w:val="22"/>
                    </w:rPr>
                    <w:t>2021年度　</w:t>
                  </w:r>
                </w:p>
              </w:tc>
              <w:tc>
                <w:tcPr>
                  <w:tcW w:w="1488"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716" w:type="dxa"/>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3657" w:type="dxa"/>
                  <w:gridSpan w:val="2"/>
                  <w:tcBorders>
                    <w:top w:val="nil"/>
                    <w:left w:val="nil"/>
                    <w:bottom w:val="single" w:color="808080" w:sz="4" w:space="0"/>
                    <w:right w:val="nil"/>
                  </w:tcBorders>
                  <w:shd w:val="clear" w:color="000000" w:fill="FFFFFF"/>
                  <w:noWrap/>
                  <w:vAlign w:val="center"/>
                </w:tcPr>
                <w:p>
                  <w:pPr>
                    <w:widowControl/>
                    <w:jc w:val="left"/>
                    <w:rPr>
                      <w:rFonts w:ascii="宋体" w:hAnsi="宋体" w:eastAsia="宋体" w:cs="Arial"/>
                      <w:kern w:val="0"/>
                      <w:sz w:val="18"/>
                      <w:szCs w:val="18"/>
                    </w:rPr>
                  </w:pPr>
                  <w:r>
                    <w:rPr>
                      <w:rFonts w:hint="eastAsia" w:ascii="宋体" w:hAnsi="宋体" w:eastAsia="宋体" w:cs="Arial"/>
                      <w:kern w:val="0"/>
                      <w:sz w:val="18"/>
                      <w:szCs w:val="18"/>
                    </w:rPr>
                    <w:t>　</w:t>
                  </w:r>
                </w:p>
              </w:tc>
              <w:tc>
                <w:tcPr>
                  <w:tcW w:w="816" w:type="dxa"/>
                  <w:tcBorders>
                    <w:top w:val="nil"/>
                    <w:left w:val="nil"/>
                    <w:bottom w:val="single" w:color="808080" w:sz="4" w:space="0"/>
                    <w:right w:val="single" w:color="808080" w:sz="4" w:space="0"/>
                  </w:tcBorders>
                  <w:shd w:val="clear" w:color="000000" w:fill="FFFFFF"/>
                  <w:noWrap/>
                  <w:vAlign w:val="center"/>
                </w:tcPr>
                <w:p>
                  <w:pPr>
                    <w:widowControl/>
                    <w:jc w:val="right"/>
                    <w:rPr>
                      <w:rFonts w:ascii="宋体" w:hAnsi="宋体" w:eastAsia="宋体" w:cs="Arial"/>
                      <w:color w:val="000000"/>
                      <w:kern w:val="0"/>
                      <w:sz w:val="22"/>
                    </w:rPr>
                  </w:pPr>
                </w:p>
              </w:tc>
            </w:tr>
            <w:tr>
              <w:tblPrEx>
                <w:tblCellMar>
                  <w:top w:w="0" w:type="dxa"/>
                  <w:left w:w="108" w:type="dxa"/>
                  <w:bottom w:w="0" w:type="dxa"/>
                  <w:right w:w="108" w:type="dxa"/>
                </w:tblCellMar>
              </w:tblPrEx>
              <w:trPr>
                <w:trHeight w:val="300" w:hRule="atLeast"/>
              </w:trPr>
              <w:tc>
                <w:tcPr>
                  <w:tcW w:w="5075" w:type="dxa"/>
                  <w:gridSpan w:val="3"/>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w:t>
                  </w:r>
                </w:p>
              </w:tc>
              <w:tc>
                <w:tcPr>
                  <w:tcW w:w="9669" w:type="dxa"/>
                  <w:gridSpan w:val="7"/>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w:t>
                  </w:r>
                </w:p>
              </w:tc>
            </w:tr>
            <w:tr>
              <w:tblPrEx>
                <w:tblCellMar>
                  <w:top w:w="0" w:type="dxa"/>
                  <w:left w:w="108" w:type="dxa"/>
                  <w:bottom w:w="0" w:type="dxa"/>
                  <w:right w:w="108" w:type="dxa"/>
                </w:tblCellMar>
              </w:tblPrEx>
              <w:trPr>
                <w:trHeight w:val="312" w:hRule="atLeast"/>
              </w:trPr>
              <w:tc>
                <w:tcPr>
                  <w:tcW w:w="716" w:type="dxa"/>
                  <w:vMerge w:val="restart"/>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2871"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488"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716"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2276"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488"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c>
                <w:tcPr>
                  <w:tcW w:w="716"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科目编码</w:t>
                  </w:r>
                </w:p>
              </w:tc>
              <w:tc>
                <w:tcPr>
                  <w:tcW w:w="3054" w:type="dxa"/>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1419" w:type="dxa"/>
                  <w:gridSpan w:val="2"/>
                  <w:vMerge w:val="restart"/>
                  <w:tcBorders>
                    <w:top w:val="nil"/>
                    <w:left w:val="nil"/>
                    <w:bottom w:val="single" w:color="000000" w:sz="4" w:space="0"/>
                    <w:right w:val="single" w:color="000000" w:sz="4" w:space="0"/>
                  </w:tcBorders>
                  <w:shd w:val="clear" w:color="auto" w:fill="BEBEBE" w:themeFill="background1" w:themeFillShade="BF"/>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决算数</w:t>
                  </w:r>
                </w:p>
              </w:tc>
            </w:tr>
            <w:tr>
              <w:tblPrEx>
                <w:tblCellMar>
                  <w:top w:w="0" w:type="dxa"/>
                  <w:left w:w="108" w:type="dxa"/>
                  <w:bottom w:w="0" w:type="dxa"/>
                  <w:right w:w="108" w:type="dxa"/>
                </w:tblCellMar>
              </w:tblPrEx>
              <w:trPr>
                <w:trHeight w:val="312" w:hRule="atLeast"/>
              </w:trPr>
              <w:tc>
                <w:tcPr>
                  <w:tcW w:w="716" w:type="dxa"/>
                  <w:vMerge w:val="continue"/>
                  <w:tcBorders>
                    <w:top w:val="nil"/>
                    <w:left w:val="single" w:color="000000" w:sz="4" w:space="0"/>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2871"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488"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716"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2276"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488"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716"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3054" w:type="dxa"/>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c>
                <w:tcPr>
                  <w:tcW w:w="1419" w:type="dxa"/>
                  <w:gridSpan w:val="2"/>
                  <w:vMerge w:val="continue"/>
                  <w:tcBorders>
                    <w:top w:val="nil"/>
                    <w:left w:val="nil"/>
                    <w:bottom w:val="single" w:color="000000" w:sz="4" w:space="0"/>
                    <w:right w:val="single" w:color="000000" w:sz="4" w:space="0"/>
                  </w:tcBorders>
                  <w:shd w:val="clear" w:color="auto" w:fill="BEBEBE" w:themeFill="background1" w:themeFillShade="BF"/>
                  <w:vAlign w:val="center"/>
                </w:tcPr>
                <w:p>
                  <w:pPr>
                    <w:widowControl/>
                    <w:jc w:val="left"/>
                    <w:rPr>
                      <w:rFonts w:ascii="宋体" w:hAnsi="宋体" w:eastAsia="宋体" w:cs="Arial"/>
                      <w:kern w:val="0"/>
                      <w:sz w:val="20"/>
                      <w:szCs w:val="20"/>
                    </w:rPr>
                  </w:pP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工资福利支出</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1,110.42</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商品和服务支出</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533.05</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债务利息及费用支出</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30101</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基本工资</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350.00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30201</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57.61</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30701</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国内债务付息</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30102</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津贴补贴</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235.00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30202</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印刷费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30702</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国外债务付息</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30103</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奖金</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163.00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30203</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咨询费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资本性支出</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30106</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伙食补助费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30204</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手续费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31001</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房屋建筑物购建</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30107</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绩效工资</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30205</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水费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31002</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办公设备购置</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30108</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机关事业单位基本养老保险缴费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79.20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30206</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电费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31003</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专用设备购置</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30109</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职业年金缴费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30207</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邮电费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31005</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基础设施建设</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30110</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职工基本医疗保险缴费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39.60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30208</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取暖费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31006</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大型修缮</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30111</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公务员医疗补助缴费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30209</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物业管理费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25.20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31007</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信息网络及软件购置更新</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30112</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其他社会保障缴费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7.22</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30211</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差旅费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87.00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31008</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物资储备</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30113</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住房公积金</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105.00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30212</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因公出国（境）费用</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31009</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土地补偿</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30114</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30213</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维修（护）费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18.00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31010</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安置补助</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30199</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其他工资福利支出</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129.40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30214</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租赁费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31011</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地上附着物和青苗补偿</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对个人和家庭的补助</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30215</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会议费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31012</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拆迁补偿</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30301</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离休费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30216</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培训费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31013</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公务用车购置</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30302</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退休费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30217</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公务接待费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9.94</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31019</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其他交通工具购置</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30303</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退职（役）费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30218</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专用材料费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31021</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文物和陈列品购置</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30304</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抚恤金</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30224</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被装购置费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31022</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无形资产购置</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30305</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生活补助</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30225</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专用燃料费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31099</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其他资本性支出</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30306</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救济费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30226</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劳务费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38.42</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其他支出</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30307</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医疗费补助</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30227</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委托业务费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39906</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赠与</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30308</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助学金</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30228</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工会经费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34.44</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39907</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国家赔偿费用支出</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30309</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奖励金</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30229</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福利费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21.52</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39908</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对民间非营利组织和群众性自治组织补贴</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30310</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个人农业生产补贴</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30231</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公务用车运行维护费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39.94</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39999</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其他支出</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30311</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代缴社会保险费</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30239</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其他交通费用</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40.00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30399</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其他对个人和家庭的补助</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3.00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30240</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税金及附加费用</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0.00</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716" w:type="dxa"/>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2871"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30299</w:t>
                  </w:r>
                </w:p>
              </w:tc>
              <w:tc>
                <w:tcPr>
                  <w:tcW w:w="227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xml:space="preserve">  其他商品和服务支出</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120.98</w:t>
                  </w:r>
                </w:p>
              </w:tc>
              <w:tc>
                <w:tcPr>
                  <w:tcW w:w="716"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3054" w:type="dxa"/>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　</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　</w:t>
                  </w:r>
                </w:p>
              </w:tc>
            </w:tr>
            <w:tr>
              <w:tblPrEx>
                <w:tblCellMar>
                  <w:top w:w="0" w:type="dxa"/>
                  <w:left w:w="108" w:type="dxa"/>
                  <w:bottom w:w="0" w:type="dxa"/>
                  <w:right w:w="108" w:type="dxa"/>
                </w:tblCellMar>
              </w:tblPrEx>
              <w:trPr>
                <w:trHeight w:val="300" w:hRule="atLeast"/>
              </w:trPr>
              <w:tc>
                <w:tcPr>
                  <w:tcW w:w="3587" w:type="dxa"/>
                  <w:gridSpan w:val="2"/>
                  <w:tcBorders>
                    <w:top w:val="nil"/>
                    <w:left w:val="single" w:color="000000" w:sz="4" w:space="0"/>
                    <w:bottom w:val="single" w:color="000000" w:sz="4" w:space="0"/>
                    <w:right w:val="single" w:color="000000" w:sz="4" w:space="0"/>
                  </w:tcBorders>
                  <w:shd w:val="clear" w:color="auto" w:fill="BEBEBE" w:themeFill="background1" w:themeFillShade="B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人员经费合计</w:t>
                  </w:r>
                </w:p>
              </w:tc>
              <w:tc>
                <w:tcPr>
                  <w:tcW w:w="1488" w:type="dxa"/>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1,121.42</w:t>
                  </w:r>
                </w:p>
              </w:tc>
              <w:tc>
                <w:tcPr>
                  <w:tcW w:w="8250" w:type="dxa"/>
                  <w:gridSpan w:val="5"/>
                  <w:tcBorders>
                    <w:top w:val="nil"/>
                    <w:left w:val="nil"/>
                    <w:bottom w:val="single" w:color="000000" w:sz="4" w:space="0"/>
                    <w:right w:val="single" w:color="000000" w:sz="4" w:space="0"/>
                  </w:tcBorders>
                  <w:shd w:val="clear" w:color="auto" w:fill="BEBEBE" w:themeFill="background1" w:themeFillShade="BF"/>
                  <w:noWrap/>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公用经费合计</w:t>
                  </w:r>
                </w:p>
              </w:tc>
              <w:tc>
                <w:tcPr>
                  <w:tcW w:w="1419" w:type="dxa"/>
                  <w:gridSpan w:val="2"/>
                  <w:tcBorders>
                    <w:top w:val="nil"/>
                    <w:left w:val="nil"/>
                    <w:bottom w:val="single" w:color="000000" w:sz="4" w:space="0"/>
                    <w:right w:val="single" w:color="000000" w:sz="4" w:space="0"/>
                  </w:tcBorders>
                  <w:shd w:val="clear" w:color="auto" w:fill="FFFFFF" w:themeFill="background1"/>
                  <w:noWrap/>
                  <w:vAlign w:val="center"/>
                </w:tcPr>
                <w:p>
                  <w:pPr>
                    <w:widowControl/>
                    <w:jc w:val="right"/>
                    <w:rPr>
                      <w:rFonts w:ascii="宋体" w:hAnsi="宋体" w:eastAsia="宋体" w:cs="Arial"/>
                      <w:kern w:val="0"/>
                      <w:sz w:val="20"/>
                      <w:szCs w:val="20"/>
                    </w:rPr>
                  </w:pPr>
                  <w:r>
                    <w:rPr>
                      <w:rFonts w:hint="eastAsia" w:ascii="宋体" w:hAnsi="宋体" w:eastAsia="宋体" w:cs="Arial"/>
                      <w:kern w:val="0"/>
                      <w:sz w:val="20"/>
                      <w:szCs w:val="20"/>
                    </w:rPr>
                    <w:t>533.05</w:t>
                  </w:r>
                </w:p>
              </w:tc>
            </w:tr>
            <w:tr>
              <w:tblPrEx>
                <w:tblCellMar>
                  <w:top w:w="0" w:type="dxa"/>
                  <w:left w:w="108" w:type="dxa"/>
                  <w:bottom w:w="0" w:type="dxa"/>
                  <w:right w:w="108" w:type="dxa"/>
                </w:tblCellMar>
              </w:tblPrEx>
              <w:trPr>
                <w:trHeight w:val="300" w:hRule="atLeast"/>
              </w:trPr>
              <w:tc>
                <w:tcPr>
                  <w:tcW w:w="14744" w:type="dxa"/>
                  <w:gridSpan w:val="10"/>
                  <w:tcBorders>
                    <w:top w:val="nil"/>
                    <w:left w:val="nil"/>
                    <w:bottom w:val="nil"/>
                    <w:right w:val="nil"/>
                  </w:tcBorders>
                  <w:shd w:val="clear" w:color="000000" w:fill="FFFFFF"/>
                  <w:noWrap/>
                  <w:vAlign w:val="center"/>
                </w:tcPr>
                <w:p>
                  <w:pPr>
                    <w:widowControl/>
                    <w:jc w:val="left"/>
                    <w:rPr>
                      <w:rFonts w:ascii="宋体" w:hAnsi="宋体" w:eastAsia="宋体" w:cs="Arial"/>
                      <w:kern w:val="0"/>
                      <w:sz w:val="20"/>
                      <w:szCs w:val="20"/>
                    </w:rPr>
                  </w:pPr>
                  <w:r>
                    <w:rPr>
                      <w:rFonts w:hint="eastAsia" w:ascii="宋体" w:hAnsi="宋体" w:eastAsia="宋体" w:cs="Arial"/>
                      <w:kern w:val="0"/>
                      <w:sz w:val="20"/>
                      <w:szCs w:val="20"/>
                    </w:rPr>
                    <w:t>注：本表反映部门本年度一般公共预算财政拨款基本支出明细情况。</w:t>
                  </w:r>
                </w:p>
              </w:tc>
            </w:tr>
          </w:tbl>
          <w:p>
            <w:pPr>
              <w:widowControl/>
              <w:jc w:val="center"/>
              <w:rPr>
                <w:rFonts w:ascii="华文中宋" w:hAnsi="华文中宋" w:eastAsia="华文中宋" w:cs="宋体"/>
                <w:color w:val="000000"/>
                <w:kern w:val="0"/>
                <w:szCs w:val="32"/>
              </w:rPr>
            </w:pPr>
          </w:p>
          <w:p>
            <w:pPr>
              <w:widowControl/>
              <w:jc w:val="center"/>
              <w:rPr>
                <w:rFonts w:ascii="华文中宋" w:hAnsi="华文中宋" w:eastAsia="华文中宋" w:cs="宋体"/>
                <w:color w:val="000000"/>
                <w:kern w:val="0"/>
                <w:szCs w:val="32"/>
              </w:rPr>
            </w:pPr>
          </w:p>
          <w:p>
            <w:pPr>
              <w:widowControl/>
              <w:jc w:val="center"/>
              <w:rPr>
                <w:rFonts w:ascii="华文中宋" w:hAnsi="华文中宋" w:eastAsia="华文中宋" w:cs="宋体"/>
                <w:color w:val="000000"/>
                <w:kern w:val="0"/>
                <w:szCs w:val="32"/>
              </w:rPr>
            </w:pPr>
          </w:p>
          <w:p>
            <w:pPr>
              <w:widowControl/>
              <w:jc w:val="center"/>
              <w:rPr>
                <w:rFonts w:ascii="华文中宋" w:hAnsi="华文中宋" w:eastAsia="华文中宋" w:cs="宋体"/>
                <w:color w:val="000000"/>
                <w:kern w:val="0"/>
                <w:szCs w:val="32"/>
              </w:rPr>
            </w:pPr>
          </w:p>
          <w:p>
            <w:pPr>
              <w:widowControl/>
              <w:jc w:val="right"/>
              <w:rPr>
                <w:rFonts w:ascii="华文中宋" w:hAnsi="华文中宋" w:eastAsia="华文中宋" w:cs="宋体"/>
                <w:color w:val="000000"/>
                <w:kern w:val="0"/>
                <w:szCs w:val="32"/>
              </w:rPr>
            </w:pPr>
          </w:p>
        </w:tc>
      </w:tr>
      <w:tr>
        <w:tblPrEx>
          <w:tblCellMar>
            <w:top w:w="0" w:type="dxa"/>
            <w:left w:w="108" w:type="dxa"/>
            <w:bottom w:w="0" w:type="dxa"/>
            <w:right w:w="108" w:type="dxa"/>
          </w:tblCellMar>
        </w:tblPrEx>
        <w:trPr>
          <w:trHeight w:val="284" w:hRule="exact"/>
        </w:trPr>
        <w:tc>
          <w:tcPr>
            <w:tcW w:w="0" w:type="auto"/>
            <w:tcBorders>
              <w:top w:val="nil"/>
              <w:left w:val="nil"/>
              <w:bottom w:val="nil"/>
              <w:right w:val="nil"/>
            </w:tcBorders>
            <w:shd w:val="clear" w:color="auto" w:fill="auto"/>
            <w:noWrap/>
            <w:vAlign w:val="center"/>
          </w:tcPr>
          <w:p>
            <w:pPr>
              <w:widowControl/>
              <w:jc w:val="left"/>
              <w:rPr>
                <w:rFonts w:ascii="宋体" w:hAnsi="宋体" w:eastAsia="宋体" w:cs="宋体"/>
                <w:color w:val="000000"/>
                <w:kern w:val="0"/>
                <w:szCs w:val="24"/>
              </w:rPr>
            </w:pPr>
          </w:p>
          <w:p>
            <w:pPr>
              <w:widowControl/>
              <w:jc w:val="left"/>
              <w:rPr>
                <w:rFonts w:ascii="宋体" w:hAnsi="宋体" w:eastAsia="宋体" w:cs="宋体"/>
                <w:color w:val="000000"/>
                <w:kern w:val="0"/>
                <w:szCs w:val="24"/>
              </w:rPr>
            </w:pPr>
          </w:p>
          <w:p>
            <w:pPr>
              <w:widowControl/>
              <w:jc w:val="left"/>
              <w:rPr>
                <w:rFonts w:ascii="宋体" w:hAnsi="宋体" w:eastAsia="宋体" w:cs="宋体"/>
                <w:color w:val="000000"/>
                <w:kern w:val="0"/>
                <w:szCs w:val="24"/>
              </w:rPr>
            </w:pPr>
          </w:p>
          <w:p>
            <w:pPr>
              <w:widowControl/>
              <w:jc w:val="left"/>
              <w:rPr>
                <w:rFonts w:ascii="宋体" w:hAnsi="宋体" w:eastAsia="宋体" w:cs="宋体"/>
                <w:color w:val="000000"/>
                <w:kern w:val="0"/>
                <w:szCs w:val="24"/>
              </w:rPr>
            </w:pPr>
          </w:p>
          <w:p>
            <w:pPr>
              <w:widowControl/>
              <w:jc w:val="left"/>
              <w:rPr>
                <w:rFonts w:ascii="宋体" w:hAnsi="宋体" w:eastAsia="宋体" w:cs="宋体"/>
                <w:color w:val="000000"/>
                <w:kern w:val="0"/>
                <w:szCs w:val="24"/>
              </w:rPr>
            </w:pPr>
          </w:p>
          <w:p>
            <w:pPr>
              <w:widowControl/>
              <w:jc w:val="left"/>
              <w:rPr>
                <w:rFonts w:ascii="宋体" w:hAnsi="宋体" w:eastAsia="宋体" w:cs="宋体"/>
                <w:color w:val="000000"/>
                <w:kern w:val="0"/>
                <w:szCs w:val="24"/>
              </w:rPr>
            </w:pPr>
          </w:p>
          <w:p>
            <w:pPr>
              <w:widowControl/>
              <w:jc w:val="left"/>
              <w:rPr>
                <w:rFonts w:ascii="宋体" w:hAnsi="宋体" w:eastAsia="宋体" w:cs="宋体"/>
                <w:color w:val="000000"/>
                <w:kern w:val="0"/>
                <w:szCs w:val="24"/>
              </w:rPr>
            </w:pPr>
          </w:p>
          <w:p>
            <w:pPr>
              <w:widowControl/>
              <w:jc w:val="left"/>
              <w:rPr>
                <w:rFonts w:ascii="宋体" w:hAnsi="宋体" w:eastAsia="宋体" w:cs="宋体"/>
                <w:color w:val="000000"/>
                <w:kern w:val="0"/>
                <w:szCs w:val="24"/>
              </w:rPr>
            </w:pPr>
          </w:p>
        </w:tc>
      </w:tr>
    </w:tbl>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p>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p>
      <w:pPr>
        <w:widowControl/>
        <w:ind w:right="420" w:firstLine="420"/>
        <w:rPr>
          <w:rFonts w:ascii="宋体" w:hAnsi="宋体" w:eastAsia="宋体" w:cs="Arial"/>
          <w:color w:val="000000"/>
          <w:kern w:val="0"/>
          <w:sz w:val="20"/>
          <w:szCs w:val="20"/>
        </w:rPr>
      </w:pPr>
      <w:r>
        <w:rPr>
          <w:rFonts w:hint="eastAsia" w:ascii="宋体" w:hAnsi="宋体" w:eastAsia="宋体" w:cs="Arial"/>
          <w:color w:val="000000"/>
          <w:kern w:val="0"/>
          <w:sz w:val="20"/>
          <w:szCs w:val="20"/>
        </w:rPr>
        <w:t>部门：涟源市人民检察院                                      2021年度</w:t>
      </w:r>
    </w:p>
    <w:p>
      <w:pPr>
        <w:widowControl/>
        <w:ind w:right="420" w:firstLine="420"/>
        <w:rPr>
          <w:rFonts w:ascii="宋体" w:hAnsi="宋体" w:eastAsia="宋体" w:cs="Arial"/>
          <w:color w:val="000000"/>
          <w:kern w:val="0"/>
          <w:sz w:val="20"/>
          <w:szCs w:val="20"/>
        </w:rPr>
      </w:pPr>
    </w:p>
    <w:tbl>
      <w:tblPr>
        <w:tblStyle w:val="6"/>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nil"/>
              <w:bottom w:val="single" w:color="000000" w:sz="4" w:space="0"/>
              <w:right w:val="single" w:color="auto" w:sz="4" w:space="0"/>
            </w:tcBorders>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c>
          <w:tcPr>
            <w:tcW w:w="1220" w:type="dxa"/>
            <w:vMerge w:val="continue"/>
            <w:tcBorders>
              <w:top w:val="nil"/>
              <w:left w:val="single" w:color="auto" w:sz="4" w:space="0"/>
              <w:bottom w:val="single" w:color="000000" w:sz="4" w:space="0"/>
              <w:right w:val="single" w:color="auto" w:sz="4" w:space="0"/>
            </w:tcBorders>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c>
          <w:tcPr>
            <w:tcW w:w="1220" w:type="dxa"/>
            <w:tcBorders>
              <w:top w:val="nil"/>
              <w:left w:val="nil"/>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w:t>
            </w:r>
            <w:r>
              <w:rPr>
                <w:rFonts w:ascii="Times New Roman" w:hAnsi="Times New Roman" w:eastAsia="仿宋_GB2312" w:cs="Times New Roman"/>
                <w:kern w:val="0"/>
                <w:szCs w:val="21"/>
              </w:rPr>
              <w:br w:type="textWrapping"/>
            </w: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50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40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40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10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49.87</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0</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39.94</w:t>
            </w:r>
          </w:p>
        </w:tc>
        <w:tc>
          <w:tcPr>
            <w:tcW w:w="1220" w:type="dxa"/>
            <w:tcBorders>
              <w:top w:val="nil"/>
              <w:left w:val="nil"/>
              <w:bottom w:val="single" w:color="auto" w:sz="8" w:space="0"/>
              <w:right w:val="single" w:color="auto" w:sz="4"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0</w:t>
            </w:r>
          </w:p>
        </w:tc>
        <w:tc>
          <w:tcPr>
            <w:tcW w:w="1220" w:type="dxa"/>
            <w:tcBorders>
              <w:top w:val="nil"/>
              <w:left w:val="nil"/>
              <w:bottom w:val="single" w:color="auto" w:sz="8" w:space="0"/>
              <w:right w:val="nil"/>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39.94</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9.94</w:t>
            </w:r>
          </w:p>
        </w:tc>
      </w:tr>
    </w:tbl>
    <w:p>
      <w:pPr>
        <w:widowControl/>
        <w:jc w:val="left"/>
        <w:rPr>
          <w:rFonts w:ascii="宋体" w:eastAsia="宋体" w:cs="宋体"/>
          <w:kern w:val="0"/>
          <w:sz w:val="24"/>
          <w:szCs w:val="24"/>
        </w:rPr>
      </w:pPr>
      <w:r>
        <w:rPr>
          <w:rFonts w:hint="eastAsia" w:ascii="宋体" w:eastAsia="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宋体" w:eastAsia="宋体" w:cs="宋体"/>
          <w:kern w:val="0"/>
          <w:sz w:val="24"/>
          <w:szCs w:val="24"/>
        </w:rPr>
        <w:br w:type="page"/>
      </w:r>
    </w:p>
    <w:p>
      <w:pPr>
        <w:autoSpaceDE w:val="0"/>
        <w:autoSpaceDN w:val="0"/>
        <w:adjustRightInd w:val="0"/>
        <w:ind w:left="315" w:leftChars="150"/>
        <w:jc w:val="left"/>
        <w:rPr>
          <w:rFonts w:ascii="宋体" w:eastAsia="宋体" w:cs="宋体"/>
          <w:kern w:val="0"/>
          <w:sz w:val="24"/>
          <w:szCs w:val="24"/>
        </w:rPr>
      </w:pPr>
    </w:p>
    <w:p>
      <w:pPr>
        <w:widowControl/>
        <w:jc w:val="center"/>
        <w:rPr>
          <w:rFonts w:ascii="Times New Roman" w:hAnsi="Times New Roman" w:eastAsia="方正小标宋_GBK" w:cs="Times New Roman"/>
          <w:kern w:val="0"/>
          <w:sz w:val="36"/>
          <w:szCs w:val="36"/>
        </w:rPr>
      </w:pPr>
    </w:p>
    <w:p>
      <w:pPr>
        <w:widowControl/>
        <w:jc w:val="center"/>
        <w:rPr>
          <w:rFonts w:ascii="Times New Roman" w:hAnsi="Times New Roman" w:eastAsia="方正小标宋_GBK" w:cs="Times New Roman"/>
          <w:kern w:val="0"/>
          <w:sz w:val="36"/>
          <w:szCs w:val="36"/>
        </w:rPr>
      </w:pPr>
      <w:r>
        <w:rPr>
          <w:rFonts w:ascii="Times New Roman" w:hAnsi="Times New Roman" w:eastAsia="方正小标宋_GBK" w:cs="Times New Roman"/>
          <w:kern w:val="0"/>
          <w:sz w:val="36"/>
          <w:szCs w:val="36"/>
        </w:rPr>
        <w:t>政府性基金预算财政拨款收入支出决算表</w:t>
      </w:r>
    </w:p>
    <w:p>
      <w:pPr>
        <w:widowControl/>
        <w:wordWrap w:val="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公开08表</w:t>
      </w:r>
    </w:p>
    <w:p>
      <w:pPr>
        <w:widowControl/>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p>
      <w:pPr>
        <w:widowControl/>
        <w:ind w:firstLine="600" w:firstLineChars="300"/>
        <w:rPr>
          <w:rFonts w:ascii="宋体" w:hAnsi="宋体" w:eastAsia="宋体" w:cs="Arial"/>
          <w:color w:val="000000"/>
          <w:kern w:val="0"/>
          <w:sz w:val="20"/>
          <w:szCs w:val="20"/>
        </w:rPr>
      </w:pPr>
      <w:r>
        <w:rPr>
          <w:rFonts w:hint="eastAsia" w:ascii="宋体" w:hAnsi="宋体" w:eastAsia="宋体" w:cs="Arial"/>
          <w:color w:val="000000"/>
          <w:kern w:val="0"/>
          <w:sz w:val="20"/>
          <w:szCs w:val="20"/>
        </w:rPr>
        <w:t>部门：涟源市人民检察院                                               2021年度</w:t>
      </w:r>
    </w:p>
    <w:p>
      <w:pPr>
        <w:widowControl/>
        <w:ind w:firstLine="600" w:firstLineChars="300"/>
        <w:rPr>
          <w:rFonts w:ascii="宋体" w:hAnsi="宋体" w:eastAsia="宋体" w:cs="Arial"/>
          <w:color w:val="000000"/>
          <w:kern w:val="0"/>
          <w:sz w:val="20"/>
          <w:szCs w:val="20"/>
        </w:rPr>
      </w:pPr>
    </w:p>
    <w:tbl>
      <w:tblPr>
        <w:tblStyle w:val="6"/>
        <w:tblW w:w="14440"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120"/>
        <w:gridCol w:w="1320"/>
        <w:gridCol w:w="2000"/>
        <w:gridCol w:w="2000"/>
        <w:gridCol w:w="2000"/>
        <w:gridCol w:w="2000"/>
        <w:gridCol w:w="2000"/>
        <w:gridCol w:w="200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440" w:type="dxa"/>
            <w:gridSpan w:val="2"/>
            <w:shd w:val="clear" w:color="auto" w:fill="BEBEBE" w:themeFill="background1" w:themeFillShade="BF"/>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w:t>
            </w:r>
          </w:p>
        </w:tc>
        <w:tc>
          <w:tcPr>
            <w:tcW w:w="2000" w:type="dxa"/>
            <w:vMerge w:val="restart"/>
            <w:shd w:val="clear" w:color="auto" w:fill="BEBEBE" w:themeFill="background1" w:themeFillShade="BF"/>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年初结转和结余</w:t>
            </w:r>
          </w:p>
        </w:tc>
        <w:tc>
          <w:tcPr>
            <w:tcW w:w="2000" w:type="dxa"/>
            <w:vMerge w:val="restart"/>
            <w:shd w:val="clear" w:color="auto" w:fill="BEBEBE" w:themeFill="background1" w:themeFillShade="BF"/>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本年收入</w:t>
            </w:r>
          </w:p>
        </w:tc>
        <w:tc>
          <w:tcPr>
            <w:tcW w:w="6000" w:type="dxa"/>
            <w:gridSpan w:val="3"/>
            <w:shd w:val="clear" w:color="auto" w:fill="BEBEBE" w:themeFill="background1" w:themeFillShade="BF"/>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本年支出</w:t>
            </w:r>
          </w:p>
        </w:tc>
        <w:tc>
          <w:tcPr>
            <w:tcW w:w="2000" w:type="dxa"/>
            <w:vMerge w:val="restart"/>
            <w:shd w:val="clear" w:color="auto" w:fill="BEBEBE" w:themeFill="background1" w:themeFillShade="BF"/>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年末结转和结余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20" w:type="dxa"/>
            <w:vMerge w:val="restart"/>
            <w:shd w:val="clear" w:color="auto" w:fill="BEBEBE" w:themeFill="background1" w:themeFillShade="BF"/>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功能分类科目编码</w:t>
            </w:r>
          </w:p>
        </w:tc>
        <w:tc>
          <w:tcPr>
            <w:tcW w:w="1320" w:type="dxa"/>
            <w:vMerge w:val="restart"/>
            <w:shd w:val="clear" w:color="auto" w:fill="BEBEBE" w:themeFill="background1" w:themeFillShade="BF"/>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科目名称</w:t>
            </w:r>
          </w:p>
        </w:tc>
        <w:tc>
          <w:tcPr>
            <w:tcW w:w="2000" w:type="dxa"/>
            <w:vMerge w:val="continue"/>
            <w:shd w:val="clear" w:color="auto" w:fill="BEBEBE" w:themeFill="background1" w:themeFillShade="BF"/>
            <w:vAlign w:val="center"/>
          </w:tcPr>
          <w:p>
            <w:pPr>
              <w:widowControl/>
              <w:jc w:val="left"/>
              <w:rPr>
                <w:rFonts w:ascii="Times New Roman" w:hAnsi="Times New Roman" w:eastAsia="仿宋_GB2312" w:cs="Times New Roman"/>
                <w:b/>
                <w:kern w:val="0"/>
                <w:szCs w:val="21"/>
              </w:rPr>
            </w:pPr>
          </w:p>
        </w:tc>
        <w:tc>
          <w:tcPr>
            <w:tcW w:w="2000" w:type="dxa"/>
            <w:vMerge w:val="continue"/>
            <w:shd w:val="clear" w:color="auto" w:fill="BEBEBE" w:themeFill="background1" w:themeFillShade="BF"/>
            <w:vAlign w:val="center"/>
          </w:tcPr>
          <w:p>
            <w:pPr>
              <w:widowControl/>
              <w:jc w:val="left"/>
              <w:rPr>
                <w:rFonts w:ascii="Times New Roman" w:hAnsi="Times New Roman" w:eastAsia="仿宋_GB2312" w:cs="Times New Roman"/>
                <w:b/>
                <w:kern w:val="0"/>
                <w:szCs w:val="21"/>
              </w:rPr>
            </w:pPr>
          </w:p>
        </w:tc>
        <w:tc>
          <w:tcPr>
            <w:tcW w:w="2000" w:type="dxa"/>
            <w:vMerge w:val="restart"/>
            <w:shd w:val="clear" w:color="auto" w:fill="BEBEBE" w:themeFill="background1" w:themeFillShade="BF"/>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小计</w:t>
            </w:r>
          </w:p>
        </w:tc>
        <w:tc>
          <w:tcPr>
            <w:tcW w:w="2000" w:type="dxa"/>
            <w:vMerge w:val="restart"/>
            <w:shd w:val="clear" w:color="auto" w:fill="BEBEBE" w:themeFill="background1" w:themeFillShade="BF"/>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基本支出</w:t>
            </w:r>
          </w:p>
        </w:tc>
        <w:tc>
          <w:tcPr>
            <w:tcW w:w="2000" w:type="dxa"/>
            <w:vMerge w:val="restart"/>
            <w:shd w:val="clear" w:color="auto" w:fill="BEBEBE" w:themeFill="background1" w:themeFillShade="BF"/>
            <w:vAlign w:val="center"/>
          </w:tcPr>
          <w:p>
            <w:pPr>
              <w:widowControl/>
              <w:jc w:val="center"/>
              <w:rPr>
                <w:rFonts w:ascii="Times New Roman" w:hAnsi="Times New Roman" w:eastAsia="仿宋_GB2312" w:cs="Times New Roman"/>
                <w:b/>
                <w:kern w:val="0"/>
                <w:szCs w:val="21"/>
              </w:rPr>
            </w:pPr>
            <w:r>
              <w:rPr>
                <w:rFonts w:ascii="Times New Roman" w:hAnsi="Times New Roman" w:eastAsia="仿宋_GB2312" w:cs="Times New Roman"/>
                <w:b/>
                <w:kern w:val="0"/>
                <w:szCs w:val="21"/>
              </w:rPr>
              <w:t>项目支出</w:t>
            </w:r>
          </w:p>
        </w:tc>
        <w:tc>
          <w:tcPr>
            <w:tcW w:w="2000" w:type="dxa"/>
            <w:vMerge w:val="continue"/>
            <w:shd w:val="clear" w:color="auto" w:fill="BEBEBE" w:themeFill="background1" w:themeFillShade="BF"/>
            <w:vAlign w:val="center"/>
          </w:tcPr>
          <w:p>
            <w:pPr>
              <w:widowControl/>
              <w:jc w:val="left"/>
              <w:rPr>
                <w:rFonts w:ascii="Times New Roman" w:hAnsi="Times New Roman" w:eastAsia="仿宋_GB2312" w:cs="Times New Roman"/>
                <w:b/>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20" w:type="dxa"/>
            <w:vMerge w:val="continue"/>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c>
          <w:tcPr>
            <w:tcW w:w="1320" w:type="dxa"/>
            <w:vMerge w:val="continue"/>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c>
          <w:tcPr>
            <w:tcW w:w="2000" w:type="dxa"/>
            <w:vMerge w:val="continue"/>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c>
          <w:tcPr>
            <w:tcW w:w="2000" w:type="dxa"/>
            <w:vMerge w:val="continue"/>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c>
          <w:tcPr>
            <w:tcW w:w="2000" w:type="dxa"/>
            <w:vMerge w:val="continue"/>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c>
          <w:tcPr>
            <w:tcW w:w="2000" w:type="dxa"/>
            <w:vMerge w:val="continue"/>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c>
          <w:tcPr>
            <w:tcW w:w="2000" w:type="dxa"/>
            <w:vMerge w:val="continue"/>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c>
          <w:tcPr>
            <w:tcW w:w="2000" w:type="dxa"/>
            <w:vMerge w:val="continue"/>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20" w:type="dxa"/>
            <w:vMerge w:val="continue"/>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c>
          <w:tcPr>
            <w:tcW w:w="1320" w:type="dxa"/>
            <w:vMerge w:val="continue"/>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c>
          <w:tcPr>
            <w:tcW w:w="2000" w:type="dxa"/>
            <w:vMerge w:val="continue"/>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c>
          <w:tcPr>
            <w:tcW w:w="2000" w:type="dxa"/>
            <w:vMerge w:val="continue"/>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c>
          <w:tcPr>
            <w:tcW w:w="2000" w:type="dxa"/>
            <w:vMerge w:val="continue"/>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c>
          <w:tcPr>
            <w:tcW w:w="2000" w:type="dxa"/>
            <w:vMerge w:val="continue"/>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c>
          <w:tcPr>
            <w:tcW w:w="2000" w:type="dxa"/>
            <w:vMerge w:val="continue"/>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c>
          <w:tcPr>
            <w:tcW w:w="2000" w:type="dxa"/>
            <w:vMerge w:val="continue"/>
            <w:shd w:val="clear" w:color="auto" w:fill="BEBEBE" w:themeFill="background1" w:themeFillShade="BF"/>
            <w:vAlign w:val="center"/>
          </w:tcPr>
          <w:p>
            <w:pPr>
              <w:widowControl/>
              <w:jc w:val="left"/>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440" w:type="dxa"/>
            <w:gridSpan w:val="2"/>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栏次</w:t>
            </w:r>
          </w:p>
        </w:tc>
        <w:tc>
          <w:tcPr>
            <w:tcW w:w="2000" w:type="dxa"/>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2000" w:type="dxa"/>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2000" w:type="dxa"/>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2000" w:type="dxa"/>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2000" w:type="dxa"/>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2000" w:type="dxa"/>
            <w:shd w:val="clear" w:color="auto" w:fill="BEBEBE" w:themeFill="background1" w:themeFillShade="BF"/>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2440" w:type="dxa"/>
            <w:gridSpan w:val="2"/>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2000" w:type="dxa"/>
            <w:shd w:val="clear" w:color="auto" w:fill="auto"/>
            <w:vAlign w:val="center"/>
          </w:tcPr>
          <w:p>
            <w:pPr>
              <w:widowControl/>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此表无数据</w:t>
            </w:r>
          </w:p>
        </w:tc>
        <w:tc>
          <w:tcPr>
            <w:tcW w:w="200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c>
          <w:tcPr>
            <w:tcW w:w="2000" w:type="dxa"/>
            <w:shd w:val="clear" w:color="auto" w:fill="auto"/>
            <w:vAlign w:val="center"/>
          </w:tcPr>
          <w:p>
            <w:pPr>
              <w:widowControl/>
              <w:jc w:val="center"/>
              <w:rPr>
                <w:rFonts w:ascii="Times New Roman" w:hAnsi="Times New Roman" w:eastAsia="仿宋_GB2312" w:cs="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40" w:hRule="atLeast"/>
          <w:jc w:val="center"/>
        </w:trPr>
        <w:tc>
          <w:tcPr>
            <w:tcW w:w="1120" w:type="dxa"/>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132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c>
          <w:tcPr>
            <w:tcW w:w="2000" w:type="dxa"/>
            <w:shd w:val="clear" w:color="auto" w:fill="auto"/>
            <w:vAlign w:val="center"/>
          </w:tcPr>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　</w:t>
            </w:r>
          </w:p>
        </w:tc>
      </w:tr>
    </w:tbl>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注：本表反映部门本年度政府性基金预算财政拨款收入、支出及结转和结余情况</w:t>
      </w:r>
    </w:p>
    <w:p>
      <w:pPr>
        <w:widowControl/>
        <w:jc w:val="left"/>
        <w:rPr>
          <w:rFonts w:ascii="Times New Roman" w:hAnsi="Times New Roman" w:eastAsia="仿宋_GB2312" w:cs="Times New Roman"/>
          <w:kern w:val="0"/>
          <w:szCs w:val="21"/>
        </w:rPr>
      </w:pPr>
      <w:r>
        <w:rPr>
          <w:rFonts w:ascii="Times New Roman" w:hAnsi="Times New Roman" w:eastAsia="仿宋_GB2312" w:cs="Times New Roman"/>
          <w:kern w:val="0"/>
          <w:szCs w:val="21"/>
        </w:rPr>
        <w:t>(若本单位无政府性基金收支</w:t>
      </w:r>
      <w:r>
        <w:rPr>
          <w:rFonts w:hint="eastAsia" w:ascii="Times New Roman" w:hAnsi="Times New Roman" w:eastAsia="仿宋_GB2312" w:cs="Times New Roman"/>
          <w:kern w:val="0"/>
          <w:szCs w:val="21"/>
        </w:rPr>
        <w:t>,请说明：XX单位没有政府性基金收入，也没有使用政府性基金安排的支出，故本表无数据</w:t>
      </w:r>
      <w:r>
        <w:rPr>
          <w:rFonts w:ascii="Times New Roman" w:hAnsi="Times New Roman" w:eastAsia="仿宋_GB2312" w:cs="Times New Roman"/>
          <w:kern w:val="0"/>
          <w:szCs w:val="21"/>
        </w:rPr>
        <w:t>)。</w:t>
      </w:r>
    </w:p>
    <w:p>
      <w:pPr>
        <w:widowControl/>
        <w:jc w:val="left"/>
        <w:rPr>
          <w:rFonts w:ascii="黑体" w:hAnsi="黑体" w:eastAsia="黑体"/>
          <w:szCs w:val="21"/>
        </w:rPr>
      </w:pPr>
      <w:r>
        <w:rPr>
          <w:rFonts w:ascii="黑体" w:hAnsi="黑体" w:eastAsia="黑体"/>
          <w:szCs w:val="21"/>
        </w:rPr>
        <w:br w:type="page"/>
      </w:r>
    </w:p>
    <w:tbl>
      <w:tblPr>
        <w:tblStyle w:val="6"/>
        <w:tblW w:w="14190" w:type="dxa"/>
        <w:tblInd w:w="91" w:type="dxa"/>
        <w:tblLayout w:type="autofit"/>
        <w:tblCellMar>
          <w:top w:w="0" w:type="dxa"/>
          <w:left w:w="108" w:type="dxa"/>
          <w:bottom w:w="0" w:type="dxa"/>
          <w:right w:w="108" w:type="dxa"/>
        </w:tblCellMar>
      </w:tblPr>
      <w:tblGrid>
        <w:gridCol w:w="1380"/>
        <w:gridCol w:w="240"/>
        <w:gridCol w:w="1089"/>
        <w:gridCol w:w="2126"/>
        <w:gridCol w:w="1225"/>
        <w:gridCol w:w="1326"/>
        <w:gridCol w:w="1294"/>
        <w:gridCol w:w="1683"/>
        <w:gridCol w:w="3827"/>
      </w:tblGrid>
      <w:tr>
        <w:tblPrEx>
          <w:tblCellMar>
            <w:top w:w="0" w:type="dxa"/>
            <w:left w:w="108" w:type="dxa"/>
            <w:bottom w:w="0" w:type="dxa"/>
            <w:right w:w="108" w:type="dxa"/>
          </w:tblCellMar>
        </w:tblPrEx>
        <w:trPr>
          <w:trHeight w:val="720" w:hRule="atLeast"/>
        </w:trPr>
        <w:tc>
          <w:tcPr>
            <w:tcW w:w="14190" w:type="dxa"/>
            <w:gridSpan w:val="9"/>
            <w:tcBorders>
              <w:top w:val="nil"/>
              <w:left w:val="nil"/>
              <w:bottom w:val="nil"/>
              <w:right w:val="nil"/>
            </w:tcBorders>
            <w:shd w:val="clear" w:color="000000" w:fill="FFFFFF"/>
            <w:vAlign w:val="center"/>
          </w:tcPr>
          <w:p>
            <w:pPr>
              <w:widowControl/>
              <w:jc w:val="center"/>
              <w:rPr>
                <w:rFonts w:ascii="华文中宋" w:hAnsi="华文中宋" w:eastAsia="华文中宋" w:cs="宋体"/>
                <w:kern w:val="0"/>
                <w:sz w:val="32"/>
                <w:szCs w:val="32"/>
              </w:rPr>
            </w:pPr>
          </w:p>
          <w:p>
            <w:pPr>
              <w:widowControl/>
              <w:jc w:val="center"/>
              <w:rPr>
                <w:rFonts w:ascii="华文中宋" w:hAnsi="华文中宋" w:eastAsia="华文中宋" w:cs="宋体"/>
                <w:kern w:val="0"/>
                <w:sz w:val="32"/>
                <w:szCs w:val="32"/>
              </w:rPr>
            </w:pPr>
            <w:r>
              <w:rPr>
                <w:rFonts w:hint="eastAsia" w:ascii="华文中宋" w:hAnsi="华文中宋" w:eastAsia="华文中宋" w:cs="宋体"/>
                <w:kern w:val="0"/>
                <w:sz w:val="32"/>
                <w:szCs w:val="32"/>
              </w:rPr>
              <w:t>国有资本经营预算财政拨款支出决算表</w:t>
            </w:r>
          </w:p>
        </w:tc>
      </w:tr>
      <w:tr>
        <w:tblPrEx>
          <w:tblCellMar>
            <w:top w:w="0" w:type="dxa"/>
            <w:left w:w="108" w:type="dxa"/>
            <w:bottom w:w="0" w:type="dxa"/>
            <w:right w:w="108" w:type="dxa"/>
          </w:tblCellMar>
        </w:tblPrEx>
        <w:trPr>
          <w:trHeight w:val="285" w:hRule="atLeast"/>
        </w:trPr>
        <w:tc>
          <w:tcPr>
            <w:tcW w:w="138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2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nil"/>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公开09表</w:t>
            </w:r>
          </w:p>
        </w:tc>
      </w:tr>
      <w:tr>
        <w:tblPrEx>
          <w:tblCellMar>
            <w:top w:w="0" w:type="dxa"/>
            <w:left w:w="108" w:type="dxa"/>
            <w:bottom w:w="0" w:type="dxa"/>
            <w:right w:w="108" w:type="dxa"/>
          </w:tblCellMar>
        </w:tblPrEx>
        <w:trPr>
          <w:trHeight w:val="285" w:hRule="atLeast"/>
        </w:trPr>
        <w:tc>
          <w:tcPr>
            <w:tcW w:w="1380" w:type="dxa"/>
            <w:tcBorders>
              <w:top w:val="nil"/>
              <w:left w:val="nil"/>
              <w:bottom w:val="nil"/>
              <w:right w:val="nil"/>
            </w:tcBorders>
            <w:shd w:val="clear" w:color="000000" w:fill="FFFFFF"/>
            <w:noWrap/>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部门：涟源市人民检察院</w:t>
            </w:r>
          </w:p>
        </w:tc>
        <w:tc>
          <w:tcPr>
            <w:tcW w:w="240" w:type="dxa"/>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nil"/>
              <w:right w:val="nil"/>
            </w:tcBorders>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1225" w:type="dxa"/>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620" w:type="dxa"/>
            <w:gridSpan w:val="2"/>
            <w:tcBorders>
              <w:top w:val="nil"/>
              <w:left w:val="nil"/>
              <w:bottom w:val="single" w:color="auto" w:sz="8" w:space="0"/>
              <w:right w:val="nil"/>
            </w:tcBorders>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2021年度</w:t>
            </w:r>
          </w:p>
        </w:tc>
        <w:tc>
          <w:tcPr>
            <w:tcW w:w="5510" w:type="dxa"/>
            <w:gridSpan w:val="2"/>
            <w:tcBorders>
              <w:top w:val="nil"/>
              <w:left w:val="nil"/>
              <w:bottom w:val="nil"/>
              <w:right w:val="nil"/>
            </w:tcBorders>
            <w:shd w:val="clear" w:color="000000" w:fill="FFFFFF"/>
            <w:noWrap/>
            <w:vAlign w:val="center"/>
          </w:tcPr>
          <w:p>
            <w:pPr>
              <w:widowControl/>
              <w:jc w:val="right"/>
              <w:rPr>
                <w:rFonts w:ascii="宋体" w:hAnsi="宋体" w:eastAsia="宋体" w:cs="宋体"/>
                <w:color w:val="000000"/>
                <w:kern w:val="0"/>
                <w:sz w:val="20"/>
                <w:szCs w:val="20"/>
              </w:rPr>
            </w:pPr>
            <w:r>
              <w:rPr>
                <w:rFonts w:hint="eastAsia" w:ascii="宋体" w:hAnsi="宋体" w:eastAsia="宋体" w:cs="宋体"/>
                <w:color w:val="000000"/>
                <w:kern w:val="0"/>
                <w:sz w:val="20"/>
                <w:szCs w:val="20"/>
              </w:rPr>
              <w:t>单位：万元</w:t>
            </w:r>
          </w:p>
        </w:tc>
      </w:tr>
      <w:tr>
        <w:tblPrEx>
          <w:tblCellMar>
            <w:top w:w="0" w:type="dxa"/>
            <w:left w:w="108" w:type="dxa"/>
            <w:bottom w:w="0" w:type="dxa"/>
            <w:right w:w="108" w:type="dxa"/>
          </w:tblCellMar>
        </w:tblPrEx>
        <w:trPr>
          <w:trHeight w:val="340" w:hRule="atLeast"/>
        </w:trPr>
        <w:tc>
          <w:tcPr>
            <w:tcW w:w="4835" w:type="dxa"/>
            <w:gridSpan w:val="4"/>
            <w:tcBorders>
              <w:top w:val="single" w:color="auto" w:sz="8" w:space="0"/>
              <w:left w:val="single" w:color="auto" w:sz="8" w:space="0"/>
              <w:bottom w:val="single" w:color="auto" w:sz="4" w:space="0"/>
              <w:right w:val="single" w:color="auto" w:sz="4" w:space="0"/>
            </w:tcBorders>
            <w:shd w:val="clear" w:color="auto" w:fill="D7D7D7" w:themeFill="background1" w:themeFillShade="D8"/>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 目</w:t>
            </w:r>
          </w:p>
        </w:tc>
        <w:tc>
          <w:tcPr>
            <w:tcW w:w="9355" w:type="dxa"/>
            <w:gridSpan w:val="5"/>
            <w:tcBorders>
              <w:top w:val="single" w:color="auto" w:sz="8" w:space="0"/>
              <w:left w:val="nil"/>
              <w:bottom w:val="single" w:color="auto" w:sz="4" w:space="0"/>
              <w:right w:val="single" w:color="000000" w:sz="4" w:space="0"/>
            </w:tcBorders>
            <w:shd w:val="clear" w:color="auto" w:fill="D7D7D7" w:themeFill="background1" w:themeFillShade="D8"/>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本年支出</w:t>
            </w:r>
          </w:p>
        </w:tc>
      </w:tr>
      <w:tr>
        <w:tblPrEx>
          <w:tblCellMar>
            <w:top w:w="0" w:type="dxa"/>
            <w:left w:w="108" w:type="dxa"/>
            <w:bottom w:w="0" w:type="dxa"/>
            <w:right w:w="108" w:type="dxa"/>
          </w:tblCellMar>
        </w:tblPrEx>
        <w:trPr>
          <w:trHeight w:val="340" w:hRule="atLeast"/>
        </w:trPr>
        <w:tc>
          <w:tcPr>
            <w:tcW w:w="2709" w:type="dxa"/>
            <w:gridSpan w:val="3"/>
            <w:vMerge w:val="restart"/>
            <w:tcBorders>
              <w:top w:val="single" w:color="auto" w:sz="4" w:space="0"/>
              <w:left w:val="single" w:color="auto" w:sz="8" w:space="0"/>
              <w:bottom w:val="single" w:color="auto" w:sz="4" w:space="0"/>
              <w:right w:val="single" w:color="auto" w:sz="4" w:space="0"/>
            </w:tcBorders>
            <w:shd w:val="clear" w:color="auto" w:fill="D7D7D7" w:themeFill="background1" w:themeFillShade="D8"/>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功能分类科目编码</w:t>
            </w:r>
          </w:p>
        </w:tc>
        <w:tc>
          <w:tcPr>
            <w:tcW w:w="2126" w:type="dxa"/>
            <w:vMerge w:val="restart"/>
            <w:tcBorders>
              <w:top w:val="nil"/>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科目名称</w:t>
            </w:r>
          </w:p>
        </w:tc>
        <w:tc>
          <w:tcPr>
            <w:tcW w:w="2551" w:type="dxa"/>
            <w:gridSpan w:val="2"/>
            <w:vMerge w:val="restart"/>
            <w:tcBorders>
              <w:top w:val="nil"/>
              <w:left w:val="single" w:color="auto" w:sz="4" w:space="0"/>
              <w:bottom w:val="single" w:color="000000" w:sz="4" w:space="0"/>
              <w:right w:val="single" w:color="auto" w:sz="4" w:space="0"/>
            </w:tcBorders>
            <w:shd w:val="clear" w:color="auto" w:fill="D7D7D7" w:themeFill="background1" w:themeFillShade="D8"/>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2977" w:type="dxa"/>
            <w:gridSpan w:val="2"/>
            <w:vMerge w:val="restart"/>
            <w:tcBorders>
              <w:top w:val="nil"/>
              <w:left w:val="single" w:color="auto" w:sz="4" w:space="0"/>
              <w:bottom w:val="single" w:color="000000" w:sz="4" w:space="0"/>
              <w:right w:val="single" w:color="auto" w:sz="4" w:space="0"/>
            </w:tcBorders>
            <w:shd w:val="clear" w:color="auto" w:fill="D7D7D7" w:themeFill="background1" w:themeFillShade="D8"/>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xml:space="preserve">基本支出  </w:t>
            </w:r>
          </w:p>
        </w:tc>
        <w:tc>
          <w:tcPr>
            <w:tcW w:w="3827" w:type="dxa"/>
            <w:vMerge w:val="restart"/>
            <w:tcBorders>
              <w:top w:val="nil"/>
              <w:left w:val="single" w:color="auto" w:sz="4" w:space="0"/>
              <w:bottom w:val="single" w:color="000000" w:sz="4" w:space="0"/>
              <w:right w:val="single" w:color="auto" w:sz="4" w:space="0"/>
            </w:tcBorders>
            <w:shd w:val="clear" w:color="auto" w:fill="D7D7D7" w:themeFill="background1" w:themeFillShade="D8"/>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项目支出</w:t>
            </w:r>
          </w:p>
        </w:tc>
      </w:tr>
      <w:tr>
        <w:tblPrEx>
          <w:tblCellMar>
            <w:top w:w="0" w:type="dxa"/>
            <w:left w:w="108" w:type="dxa"/>
            <w:bottom w:w="0" w:type="dxa"/>
            <w:right w:w="108" w:type="dxa"/>
          </w:tblCellMar>
        </w:tblPrEx>
        <w:trPr>
          <w:trHeight w:val="340" w:hRule="atLeast"/>
        </w:trPr>
        <w:tc>
          <w:tcPr>
            <w:tcW w:w="2709" w:type="dxa"/>
            <w:gridSpan w:val="3"/>
            <w:vMerge w:val="continue"/>
            <w:tcBorders>
              <w:top w:val="single" w:color="auto" w:sz="4" w:space="0"/>
              <w:left w:val="single" w:color="auto" w:sz="8" w:space="0"/>
              <w:bottom w:val="single" w:color="auto" w:sz="4" w:space="0"/>
              <w:right w:val="single" w:color="auto" w:sz="4" w:space="0"/>
            </w:tcBorders>
            <w:shd w:val="clear" w:color="auto" w:fill="D7D7D7" w:themeFill="background1" w:themeFillShade="D8"/>
            <w:vAlign w:val="center"/>
          </w:tcPr>
          <w:p>
            <w:pPr>
              <w:widowControl/>
              <w:jc w:val="center"/>
              <w:rPr>
                <w:rFonts w:ascii="宋体" w:hAnsi="宋体" w:eastAsia="宋体" w:cs="Arial"/>
                <w:kern w:val="0"/>
                <w:sz w:val="20"/>
                <w:szCs w:val="20"/>
              </w:rPr>
            </w:pPr>
          </w:p>
        </w:tc>
        <w:tc>
          <w:tcPr>
            <w:tcW w:w="2126" w:type="dxa"/>
            <w:vMerge w:val="continue"/>
            <w:tcBorders>
              <w:top w:val="nil"/>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宋体" w:hAnsi="宋体" w:eastAsia="宋体" w:cs="Arial"/>
                <w:kern w:val="0"/>
                <w:sz w:val="20"/>
                <w:szCs w:val="20"/>
              </w:rPr>
            </w:pPr>
          </w:p>
        </w:tc>
        <w:tc>
          <w:tcPr>
            <w:tcW w:w="2551" w:type="dxa"/>
            <w:gridSpan w:val="2"/>
            <w:vMerge w:val="continue"/>
            <w:tcBorders>
              <w:top w:val="nil"/>
              <w:left w:val="single" w:color="auto" w:sz="4" w:space="0"/>
              <w:bottom w:val="single" w:color="000000" w:sz="4" w:space="0"/>
              <w:right w:val="single" w:color="auto" w:sz="4" w:space="0"/>
            </w:tcBorders>
            <w:shd w:val="clear" w:color="auto" w:fill="D7D7D7" w:themeFill="background1" w:themeFillShade="D8"/>
            <w:vAlign w:val="center"/>
          </w:tcPr>
          <w:p>
            <w:pPr>
              <w:widowControl/>
              <w:jc w:val="center"/>
              <w:rPr>
                <w:rFonts w:ascii="宋体" w:hAnsi="宋体" w:eastAsia="宋体" w:cs="Arial"/>
                <w:kern w:val="0"/>
                <w:sz w:val="20"/>
                <w:szCs w:val="20"/>
              </w:rPr>
            </w:pPr>
          </w:p>
        </w:tc>
        <w:tc>
          <w:tcPr>
            <w:tcW w:w="2977" w:type="dxa"/>
            <w:gridSpan w:val="2"/>
            <w:vMerge w:val="continue"/>
            <w:tcBorders>
              <w:top w:val="nil"/>
              <w:left w:val="single" w:color="auto" w:sz="4" w:space="0"/>
              <w:bottom w:val="single" w:color="000000" w:sz="4" w:space="0"/>
              <w:right w:val="single" w:color="auto" w:sz="4" w:space="0"/>
            </w:tcBorders>
            <w:shd w:val="clear" w:color="auto" w:fill="D7D7D7" w:themeFill="background1" w:themeFillShade="D8"/>
            <w:vAlign w:val="center"/>
          </w:tcPr>
          <w:p>
            <w:pPr>
              <w:widowControl/>
              <w:jc w:val="center"/>
              <w:rPr>
                <w:rFonts w:ascii="宋体" w:hAnsi="宋体" w:eastAsia="宋体" w:cs="Arial"/>
                <w:kern w:val="0"/>
                <w:sz w:val="20"/>
                <w:szCs w:val="20"/>
              </w:rPr>
            </w:pPr>
          </w:p>
        </w:tc>
        <w:tc>
          <w:tcPr>
            <w:tcW w:w="3827" w:type="dxa"/>
            <w:vMerge w:val="continue"/>
            <w:tcBorders>
              <w:top w:val="nil"/>
              <w:left w:val="single" w:color="auto" w:sz="4" w:space="0"/>
              <w:bottom w:val="single" w:color="000000" w:sz="4" w:space="0"/>
              <w:right w:val="single" w:color="auto" w:sz="4" w:space="0"/>
            </w:tcBorders>
            <w:shd w:val="clear" w:color="auto" w:fill="D7D7D7" w:themeFill="background1" w:themeFillShade="D8"/>
            <w:vAlign w:val="center"/>
          </w:tcPr>
          <w:p>
            <w:pPr>
              <w:widowControl/>
              <w:jc w:val="center"/>
              <w:rPr>
                <w:rFonts w:ascii="宋体" w:hAnsi="宋体" w:eastAsia="宋体" w:cs="Arial"/>
                <w:kern w:val="0"/>
                <w:sz w:val="20"/>
                <w:szCs w:val="20"/>
              </w:rPr>
            </w:pPr>
          </w:p>
        </w:tc>
      </w:tr>
      <w:tr>
        <w:tblPrEx>
          <w:tblCellMar>
            <w:top w:w="0" w:type="dxa"/>
            <w:left w:w="108" w:type="dxa"/>
            <w:bottom w:w="0" w:type="dxa"/>
            <w:right w:w="108" w:type="dxa"/>
          </w:tblCellMar>
        </w:tblPrEx>
        <w:trPr>
          <w:trHeight w:val="340" w:hRule="atLeast"/>
        </w:trPr>
        <w:tc>
          <w:tcPr>
            <w:tcW w:w="2709" w:type="dxa"/>
            <w:gridSpan w:val="3"/>
            <w:vMerge w:val="continue"/>
            <w:tcBorders>
              <w:top w:val="single" w:color="auto" w:sz="4" w:space="0"/>
              <w:left w:val="single" w:color="auto" w:sz="8" w:space="0"/>
              <w:bottom w:val="single" w:color="auto" w:sz="4" w:space="0"/>
              <w:right w:val="single" w:color="auto" w:sz="4" w:space="0"/>
            </w:tcBorders>
            <w:shd w:val="clear" w:color="auto" w:fill="D7D7D7" w:themeFill="background1" w:themeFillShade="D8"/>
            <w:vAlign w:val="center"/>
          </w:tcPr>
          <w:p>
            <w:pPr>
              <w:widowControl/>
              <w:jc w:val="center"/>
              <w:rPr>
                <w:rFonts w:ascii="宋体" w:hAnsi="宋体" w:eastAsia="宋体" w:cs="Arial"/>
                <w:kern w:val="0"/>
                <w:sz w:val="20"/>
                <w:szCs w:val="20"/>
              </w:rPr>
            </w:pPr>
          </w:p>
        </w:tc>
        <w:tc>
          <w:tcPr>
            <w:tcW w:w="2126" w:type="dxa"/>
            <w:vMerge w:val="continue"/>
            <w:tcBorders>
              <w:top w:val="nil"/>
              <w:left w:val="single" w:color="auto" w:sz="4" w:space="0"/>
              <w:bottom w:val="single" w:color="auto" w:sz="4" w:space="0"/>
              <w:right w:val="single" w:color="auto" w:sz="4" w:space="0"/>
            </w:tcBorders>
            <w:shd w:val="clear" w:color="auto" w:fill="D7D7D7" w:themeFill="background1" w:themeFillShade="D8"/>
            <w:vAlign w:val="center"/>
          </w:tcPr>
          <w:p>
            <w:pPr>
              <w:widowControl/>
              <w:jc w:val="center"/>
              <w:rPr>
                <w:rFonts w:ascii="宋体" w:hAnsi="宋体" w:eastAsia="宋体" w:cs="Arial"/>
                <w:kern w:val="0"/>
                <w:sz w:val="20"/>
                <w:szCs w:val="20"/>
              </w:rPr>
            </w:pPr>
          </w:p>
        </w:tc>
        <w:tc>
          <w:tcPr>
            <w:tcW w:w="2551" w:type="dxa"/>
            <w:gridSpan w:val="2"/>
            <w:vMerge w:val="continue"/>
            <w:tcBorders>
              <w:top w:val="nil"/>
              <w:left w:val="single" w:color="auto" w:sz="4" w:space="0"/>
              <w:bottom w:val="single" w:color="000000" w:sz="4" w:space="0"/>
              <w:right w:val="single" w:color="auto" w:sz="4" w:space="0"/>
            </w:tcBorders>
            <w:shd w:val="clear" w:color="auto" w:fill="D7D7D7" w:themeFill="background1" w:themeFillShade="D8"/>
            <w:vAlign w:val="center"/>
          </w:tcPr>
          <w:p>
            <w:pPr>
              <w:widowControl/>
              <w:jc w:val="center"/>
              <w:rPr>
                <w:rFonts w:ascii="宋体" w:hAnsi="宋体" w:eastAsia="宋体" w:cs="Arial"/>
                <w:kern w:val="0"/>
                <w:sz w:val="20"/>
                <w:szCs w:val="20"/>
              </w:rPr>
            </w:pPr>
          </w:p>
        </w:tc>
        <w:tc>
          <w:tcPr>
            <w:tcW w:w="2977" w:type="dxa"/>
            <w:gridSpan w:val="2"/>
            <w:vMerge w:val="continue"/>
            <w:tcBorders>
              <w:top w:val="nil"/>
              <w:left w:val="single" w:color="auto" w:sz="4" w:space="0"/>
              <w:bottom w:val="single" w:color="000000" w:sz="4" w:space="0"/>
              <w:right w:val="single" w:color="auto" w:sz="4" w:space="0"/>
            </w:tcBorders>
            <w:shd w:val="clear" w:color="auto" w:fill="D7D7D7" w:themeFill="background1" w:themeFillShade="D8"/>
            <w:vAlign w:val="center"/>
          </w:tcPr>
          <w:p>
            <w:pPr>
              <w:widowControl/>
              <w:jc w:val="center"/>
              <w:rPr>
                <w:rFonts w:ascii="宋体" w:hAnsi="宋体" w:eastAsia="宋体" w:cs="Arial"/>
                <w:kern w:val="0"/>
                <w:sz w:val="20"/>
                <w:szCs w:val="20"/>
              </w:rPr>
            </w:pPr>
          </w:p>
        </w:tc>
        <w:tc>
          <w:tcPr>
            <w:tcW w:w="3827" w:type="dxa"/>
            <w:vMerge w:val="continue"/>
            <w:tcBorders>
              <w:top w:val="nil"/>
              <w:left w:val="single" w:color="auto" w:sz="4" w:space="0"/>
              <w:bottom w:val="single" w:color="000000" w:sz="4" w:space="0"/>
              <w:right w:val="single" w:color="auto" w:sz="4" w:space="0"/>
            </w:tcBorders>
            <w:shd w:val="clear" w:color="auto" w:fill="D7D7D7" w:themeFill="background1" w:themeFillShade="D8"/>
            <w:vAlign w:val="center"/>
          </w:tcPr>
          <w:p>
            <w:pPr>
              <w:widowControl/>
              <w:jc w:val="center"/>
              <w:rPr>
                <w:rFonts w:ascii="宋体" w:hAnsi="宋体" w:eastAsia="宋体" w:cs="Arial"/>
                <w:kern w:val="0"/>
                <w:sz w:val="20"/>
                <w:szCs w:val="20"/>
              </w:rPr>
            </w:pPr>
          </w:p>
        </w:tc>
      </w:tr>
      <w:tr>
        <w:tblPrEx>
          <w:tblCellMar>
            <w:top w:w="0" w:type="dxa"/>
            <w:left w:w="108" w:type="dxa"/>
            <w:bottom w:w="0" w:type="dxa"/>
            <w:right w:w="108" w:type="dxa"/>
          </w:tblCellMar>
        </w:tblPrEx>
        <w:trPr>
          <w:trHeight w:val="340" w:hRule="atLeast"/>
        </w:trPr>
        <w:tc>
          <w:tcPr>
            <w:tcW w:w="4835" w:type="dxa"/>
            <w:gridSpan w:val="4"/>
            <w:tcBorders>
              <w:top w:val="single" w:color="auto" w:sz="4" w:space="0"/>
              <w:left w:val="single" w:color="auto" w:sz="8" w:space="0"/>
              <w:bottom w:val="single" w:color="auto" w:sz="4" w:space="0"/>
              <w:right w:val="single" w:color="000000" w:sz="4" w:space="0"/>
            </w:tcBorders>
            <w:shd w:val="clear" w:color="auto" w:fill="D7D7D7" w:themeFill="background1" w:themeFillShade="D8"/>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栏次</w:t>
            </w:r>
          </w:p>
        </w:tc>
        <w:tc>
          <w:tcPr>
            <w:tcW w:w="2551" w:type="dxa"/>
            <w:gridSpan w:val="2"/>
            <w:tcBorders>
              <w:top w:val="nil"/>
              <w:left w:val="nil"/>
              <w:bottom w:val="single" w:color="auto" w:sz="4" w:space="0"/>
              <w:right w:val="single" w:color="auto" w:sz="4" w:space="0"/>
            </w:tcBorders>
            <w:shd w:val="clear" w:color="auto" w:fill="D7D7D7" w:themeFill="background1" w:themeFillShade="D8"/>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1</w:t>
            </w:r>
          </w:p>
        </w:tc>
        <w:tc>
          <w:tcPr>
            <w:tcW w:w="2977" w:type="dxa"/>
            <w:gridSpan w:val="2"/>
            <w:tcBorders>
              <w:top w:val="nil"/>
              <w:left w:val="nil"/>
              <w:bottom w:val="single" w:color="auto" w:sz="4" w:space="0"/>
              <w:right w:val="single" w:color="auto" w:sz="4" w:space="0"/>
            </w:tcBorders>
            <w:shd w:val="clear" w:color="auto" w:fill="D7D7D7" w:themeFill="background1" w:themeFillShade="D8"/>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2</w:t>
            </w:r>
          </w:p>
        </w:tc>
        <w:tc>
          <w:tcPr>
            <w:tcW w:w="3827" w:type="dxa"/>
            <w:tcBorders>
              <w:top w:val="nil"/>
              <w:left w:val="nil"/>
              <w:bottom w:val="single" w:color="auto" w:sz="4" w:space="0"/>
              <w:right w:val="single" w:color="auto" w:sz="4" w:space="0"/>
            </w:tcBorders>
            <w:shd w:val="clear" w:color="auto" w:fill="D7D7D7" w:themeFill="background1" w:themeFillShade="D8"/>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3</w:t>
            </w:r>
          </w:p>
        </w:tc>
      </w:tr>
      <w:tr>
        <w:tblPrEx>
          <w:tblCellMar>
            <w:top w:w="0" w:type="dxa"/>
            <w:left w:w="108" w:type="dxa"/>
            <w:bottom w:w="0" w:type="dxa"/>
            <w:right w:w="108" w:type="dxa"/>
          </w:tblCellMar>
        </w:tblPrEx>
        <w:trPr>
          <w:trHeight w:val="340" w:hRule="atLeast"/>
        </w:trPr>
        <w:tc>
          <w:tcPr>
            <w:tcW w:w="4835" w:type="dxa"/>
            <w:gridSpan w:val="4"/>
            <w:tcBorders>
              <w:top w:val="nil"/>
              <w:left w:val="single" w:color="auto" w:sz="8" w:space="0"/>
              <w:bottom w:val="single" w:color="auto" w:sz="4" w:space="0"/>
              <w:right w:val="single" w:color="000000" w:sz="4" w:space="0"/>
            </w:tcBorders>
            <w:shd w:val="clear" w:color="auto" w:fill="D7D7D7" w:themeFill="background1" w:themeFillShade="D8"/>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合计</w:t>
            </w:r>
          </w:p>
        </w:tc>
        <w:tc>
          <w:tcPr>
            <w:tcW w:w="2551" w:type="dxa"/>
            <w:gridSpan w:val="2"/>
            <w:tcBorders>
              <w:top w:val="nil"/>
              <w:left w:val="nil"/>
              <w:bottom w:val="single" w:color="auto" w:sz="4" w:space="0"/>
              <w:right w:val="single" w:color="auto" w:sz="4" w:space="0"/>
            </w:tcBorders>
            <w:shd w:val="clear" w:color="auto" w:fill="D7D7D7" w:themeFill="background1" w:themeFillShade="D8"/>
            <w:vAlign w:val="center"/>
          </w:tcPr>
          <w:p>
            <w:pPr>
              <w:widowControl/>
              <w:jc w:val="center"/>
              <w:rPr>
                <w:rFonts w:ascii="宋体" w:hAnsi="宋体" w:eastAsia="宋体" w:cs="Arial"/>
                <w:kern w:val="0"/>
                <w:sz w:val="20"/>
                <w:szCs w:val="20"/>
              </w:rPr>
            </w:pPr>
          </w:p>
        </w:tc>
        <w:tc>
          <w:tcPr>
            <w:tcW w:w="2977" w:type="dxa"/>
            <w:gridSpan w:val="2"/>
            <w:tcBorders>
              <w:top w:val="nil"/>
              <w:left w:val="nil"/>
              <w:bottom w:val="single" w:color="auto" w:sz="4" w:space="0"/>
              <w:right w:val="single" w:color="auto" w:sz="4" w:space="0"/>
            </w:tcBorders>
            <w:shd w:val="clear" w:color="auto" w:fill="D7D7D7" w:themeFill="background1" w:themeFillShade="D8"/>
            <w:vAlign w:val="center"/>
          </w:tcPr>
          <w:p>
            <w:pPr>
              <w:widowControl/>
              <w:jc w:val="center"/>
              <w:rPr>
                <w:rFonts w:ascii="宋体" w:hAnsi="宋体" w:eastAsia="宋体" w:cs="Arial"/>
                <w:kern w:val="0"/>
                <w:sz w:val="20"/>
                <w:szCs w:val="20"/>
              </w:rPr>
            </w:pPr>
            <w:r>
              <w:rPr>
                <w:rFonts w:hint="eastAsia" w:ascii="宋体" w:hAnsi="宋体" w:eastAsia="宋体" w:cs="Arial"/>
                <w:kern w:val="0"/>
                <w:sz w:val="20"/>
                <w:szCs w:val="20"/>
              </w:rPr>
              <w:t>　</w:t>
            </w:r>
          </w:p>
        </w:tc>
        <w:tc>
          <w:tcPr>
            <w:tcW w:w="3827" w:type="dxa"/>
            <w:tcBorders>
              <w:top w:val="nil"/>
              <w:left w:val="nil"/>
              <w:bottom w:val="single" w:color="auto" w:sz="4" w:space="0"/>
              <w:right w:val="single" w:color="auto" w:sz="4" w:space="0"/>
            </w:tcBorders>
            <w:shd w:val="clear" w:color="auto" w:fill="D7D7D7" w:themeFill="background1" w:themeFillShade="D8"/>
            <w:vAlign w:val="center"/>
          </w:tcPr>
          <w:p>
            <w:pPr>
              <w:widowControl/>
              <w:jc w:val="center"/>
              <w:rPr>
                <w:rFonts w:ascii="宋体" w:hAnsi="宋体" w:eastAsia="宋体" w:cs="Arial"/>
                <w:kern w:val="0"/>
                <w:sz w:val="20"/>
                <w:szCs w:val="20"/>
              </w:rPr>
            </w:pPr>
          </w:p>
        </w:tc>
      </w:tr>
      <w:tr>
        <w:tblPrEx>
          <w:tblCellMar>
            <w:top w:w="0" w:type="dxa"/>
            <w:left w:w="108" w:type="dxa"/>
            <w:bottom w:w="0" w:type="dxa"/>
            <w:right w:w="108" w:type="dxa"/>
          </w:tblCellMar>
        </w:tblPrEx>
        <w:trPr>
          <w:trHeight w:val="340"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r>
              <w:rPr>
                <w:rFonts w:hint="eastAsia" w:ascii="Times New Roman" w:hAnsi="Times New Roman" w:eastAsia="仿宋_GB2312" w:cs="Times New Roman"/>
                <w:kern w:val="0"/>
                <w:szCs w:val="21"/>
              </w:rPr>
              <w:t>此表无数据</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0"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0"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0"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0" w:hRule="atLeast"/>
        </w:trPr>
        <w:tc>
          <w:tcPr>
            <w:tcW w:w="1620" w:type="dxa"/>
            <w:gridSpan w:val="2"/>
            <w:tcBorders>
              <w:top w:val="single" w:color="auto" w:sz="4" w:space="0"/>
              <w:left w:val="single" w:color="auto" w:sz="8"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977"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82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340" w:hRule="atLeast"/>
        </w:trPr>
        <w:tc>
          <w:tcPr>
            <w:tcW w:w="1620" w:type="dxa"/>
            <w:gridSpan w:val="2"/>
            <w:tcBorders>
              <w:top w:val="single" w:color="auto" w:sz="4" w:space="0"/>
              <w:left w:val="single" w:color="auto" w:sz="8" w:space="0"/>
              <w:bottom w:val="single" w:color="auto" w:sz="8" w:space="0"/>
              <w:right w:val="single" w:color="auto" w:sz="4" w:space="0"/>
            </w:tcBorders>
            <w:shd w:val="clear" w:color="auto" w:fill="auto"/>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c>
          <w:tcPr>
            <w:tcW w:w="3215"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551"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2977" w:type="dxa"/>
            <w:gridSpan w:val="2"/>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c>
          <w:tcPr>
            <w:tcW w:w="3827" w:type="dxa"/>
            <w:tcBorders>
              <w:top w:val="nil"/>
              <w:left w:val="nil"/>
              <w:bottom w:val="single" w:color="auto" w:sz="8" w:space="0"/>
              <w:right w:val="single" w:color="auto" w:sz="4" w:space="0"/>
            </w:tcBorders>
            <w:shd w:val="clear" w:color="auto" w:fill="auto"/>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CellMar>
            <w:top w:w="0" w:type="dxa"/>
            <w:left w:w="108" w:type="dxa"/>
            <w:bottom w:w="0" w:type="dxa"/>
            <w:right w:w="108" w:type="dxa"/>
          </w:tblCellMar>
        </w:tblPrEx>
        <w:trPr>
          <w:trHeight w:val="720" w:hRule="atLeast"/>
        </w:trPr>
        <w:tc>
          <w:tcPr>
            <w:tcW w:w="14190" w:type="dxa"/>
            <w:gridSpan w:val="9"/>
            <w:tcBorders>
              <w:top w:val="single" w:color="auto" w:sz="8"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注：本表反映部门本年度国有资本经营预算财政拨款支出情况。</w:t>
            </w:r>
          </w:p>
        </w:tc>
      </w:tr>
    </w:tbl>
    <w:p>
      <w:pPr>
        <w:pStyle w:val="11"/>
        <w:rPr>
          <w:sz w:val="72"/>
          <w:szCs w:val="72"/>
        </w:rPr>
        <w:sectPr>
          <w:pgSz w:w="16838" w:h="11906" w:orient="landscape"/>
          <w:pgMar w:top="720" w:right="720" w:bottom="720" w:left="720" w:header="851" w:footer="992" w:gutter="0"/>
          <w:cols w:space="425" w:num="1"/>
          <w:docGrid w:type="lines" w:linePitch="312" w:charSpace="0"/>
        </w:sectPr>
      </w:pPr>
    </w:p>
    <w:p>
      <w:pPr>
        <w:pStyle w:val="11"/>
        <w:jc w:val="both"/>
        <w:rPr>
          <w:sz w:val="72"/>
          <w:szCs w:val="72"/>
        </w:rPr>
      </w:pPr>
    </w:p>
    <w:p>
      <w:pPr>
        <w:pStyle w:val="11"/>
        <w:jc w:val="center"/>
        <w:rPr>
          <w:rStyle w:val="8"/>
          <w:rFonts w:ascii="方正小标宋_GBK" w:hAnsi="黑体" w:eastAsia="方正小标宋_GBK"/>
          <w:color w:val="auto"/>
          <w:kern w:val="2"/>
          <w:sz w:val="44"/>
          <w:szCs w:val="44"/>
          <w:shd w:val="clear" w:color="auto" w:fill="FFFFFF"/>
        </w:rPr>
      </w:pPr>
      <w:r>
        <w:rPr>
          <w:rStyle w:val="8"/>
          <w:rFonts w:hint="eastAsia" w:ascii="方正小标宋_GBK" w:hAnsi="黑体" w:eastAsia="方正小标宋_GBK"/>
          <w:color w:val="auto"/>
          <w:kern w:val="2"/>
          <w:sz w:val="44"/>
          <w:szCs w:val="44"/>
          <w:shd w:val="clear" w:color="auto" w:fill="FFFFFF"/>
        </w:rPr>
        <w:t>第三部分 2021年度部门决算情况说明</w:t>
      </w:r>
    </w:p>
    <w:p>
      <w:pPr>
        <w:widowControl/>
        <w:jc w:val="left"/>
        <w:rPr>
          <w:rFonts w:asciiTheme="minorEastAsia" w:hAnsiTheme="minorEastAsia"/>
          <w:sz w:val="32"/>
          <w:szCs w:val="32"/>
        </w:rPr>
      </w:pPr>
    </w:p>
    <w:p>
      <w:pPr>
        <w:pStyle w:val="11"/>
        <w:ind w:firstLine="640" w:firstLineChars="200"/>
        <w:rPr>
          <w:rStyle w:val="8"/>
          <w:rFonts w:hAnsi="黑体" w:cs="楷体"/>
          <w:b w:val="0"/>
          <w:color w:val="auto"/>
          <w:kern w:val="2"/>
          <w:sz w:val="32"/>
          <w:szCs w:val="32"/>
          <w:shd w:val="clear" w:color="auto" w:fill="FFFFFF"/>
        </w:rPr>
      </w:pPr>
      <w:r>
        <w:rPr>
          <w:rStyle w:val="8"/>
          <w:rFonts w:hint="eastAsia" w:hAnsi="黑体" w:cs="楷体"/>
          <w:b w:val="0"/>
          <w:color w:val="auto"/>
          <w:kern w:val="2"/>
          <w:sz w:val="32"/>
          <w:szCs w:val="32"/>
          <w:shd w:val="clear" w:color="auto" w:fill="FFFFFF"/>
        </w:rPr>
        <w:t>一、收入支出决算总体情况说明</w:t>
      </w:r>
    </w:p>
    <w:p>
      <w:pPr>
        <w:pStyle w:val="11"/>
        <w:ind w:firstLine="640" w:firstLineChars="200"/>
        <w:rPr>
          <w:rFonts w:ascii="仿宋_GB2312" w:eastAsia="仿宋_GB2312" w:cs="宋体"/>
          <w:color w:val="auto"/>
          <w:kern w:val="2"/>
          <w:sz w:val="32"/>
          <w:szCs w:val="32"/>
        </w:rPr>
      </w:pPr>
      <w:r>
        <w:rPr>
          <w:rFonts w:hint="eastAsia" w:ascii="仿宋_GB2312" w:eastAsia="仿宋_GB2312" w:cs="宋体"/>
          <w:color w:val="auto"/>
          <w:kern w:val="2"/>
          <w:sz w:val="32"/>
          <w:szCs w:val="32"/>
        </w:rPr>
        <w:t>2021年度收、支总计2087.56万元。与上年相比，减少255.53万元，减少10.9%，主要是因为落实中央和省委省政府过“紧”日子的政策要求，压减一般性支出、省级统管后地方财政应承担部分保障能力不足、机关建设项目支出减少、全院奖金津补贴等支出减少。</w:t>
      </w:r>
    </w:p>
    <w:p>
      <w:pPr>
        <w:pStyle w:val="11"/>
        <w:ind w:firstLine="640" w:firstLineChars="200"/>
        <w:rPr>
          <w:rStyle w:val="8"/>
          <w:rFonts w:hAnsi="黑体" w:cs="楷体"/>
          <w:b w:val="0"/>
          <w:color w:val="auto"/>
          <w:kern w:val="2"/>
          <w:sz w:val="32"/>
          <w:szCs w:val="32"/>
          <w:shd w:val="clear" w:color="auto" w:fill="FFFFFF"/>
        </w:rPr>
      </w:pPr>
      <w:r>
        <w:rPr>
          <w:rStyle w:val="8"/>
          <w:rFonts w:hint="eastAsia" w:hAnsi="黑体" w:cs="楷体"/>
          <w:b w:val="0"/>
          <w:color w:val="auto"/>
          <w:kern w:val="2"/>
          <w:sz w:val="32"/>
          <w:szCs w:val="32"/>
          <w:shd w:val="clear" w:color="auto" w:fill="FFFFFF"/>
        </w:rPr>
        <w:t>二、收入决算情况说明</w:t>
      </w:r>
    </w:p>
    <w:p>
      <w:pPr>
        <w:pStyle w:val="11"/>
        <w:ind w:firstLine="640" w:firstLineChars="200"/>
        <w:rPr>
          <w:rFonts w:ascii="仿宋_GB2312" w:eastAsia="仿宋_GB2312" w:cs="宋体"/>
          <w:color w:val="auto"/>
          <w:kern w:val="2"/>
          <w:sz w:val="32"/>
          <w:szCs w:val="32"/>
        </w:rPr>
      </w:pPr>
      <w:r>
        <w:rPr>
          <w:rFonts w:hint="eastAsia" w:ascii="仿宋_GB2312" w:eastAsia="仿宋_GB2312" w:cs="宋体"/>
          <w:color w:val="auto"/>
          <w:kern w:val="2"/>
          <w:sz w:val="32"/>
          <w:szCs w:val="32"/>
        </w:rPr>
        <w:t>2021年度收入合计2064.24万元，其中：财政拨款收入1825.76万元，占比88.45%；上级补助收入0万元，占比0%；事业收入0万元，占比0%；经营收入0万元，占比0%；附属单位上缴收入0万元，占比0%；其他收入238.48万元，占比11.55%。</w:t>
      </w:r>
    </w:p>
    <w:p>
      <w:pPr>
        <w:pStyle w:val="11"/>
        <w:ind w:firstLine="640" w:firstLineChars="200"/>
        <w:rPr>
          <w:rStyle w:val="8"/>
          <w:rFonts w:hAnsi="黑体" w:cs="楷体"/>
          <w:b w:val="0"/>
          <w:color w:val="auto"/>
          <w:kern w:val="2"/>
          <w:sz w:val="32"/>
          <w:szCs w:val="32"/>
          <w:shd w:val="clear" w:color="auto" w:fill="FFFFFF"/>
        </w:rPr>
      </w:pPr>
      <w:r>
        <w:rPr>
          <w:rStyle w:val="8"/>
          <w:rFonts w:hint="eastAsia" w:hAnsi="黑体" w:cs="楷体"/>
          <w:b w:val="0"/>
          <w:color w:val="auto"/>
          <w:kern w:val="2"/>
          <w:sz w:val="32"/>
          <w:szCs w:val="32"/>
          <w:shd w:val="clear" w:color="auto" w:fill="FFFFFF"/>
        </w:rPr>
        <w:t>三、支出决算情况说明</w:t>
      </w:r>
    </w:p>
    <w:p>
      <w:pPr>
        <w:pStyle w:val="11"/>
        <w:ind w:firstLine="640" w:firstLineChars="200"/>
        <w:rPr>
          <w:rFonts w:ascii="仿宋_GB2312" w:eastAsia="仿宋_GB2312" w:cs="宋体"/>
          <w:color w:val="auto"/>
          <w:kern w:val="2"/>
          <w:sz w:val="32"/>
          <w:szCs w:val="32"/>
        </w:rPr>
      </w:pPr>
      <w:r>
        <w:rPr>
          <w:rFonts w:hint="eastAsia" w:ascii="仿宋_GB2312" w:eastAsia="仿宋_GB2312" w:cs="宋体"/>
          <w:color w:val="auto"/>
          <w:kern w:val="2"/>
          <w:sz w:val="32"/>
          <w:szCs w:val="32"/>
        </w:rPr>
        <w:t>2021年度支出合计2065.57万元，其中：基本支出1839.13万元，占89.04%；项目支出226.44万元，占10.96%；上缴上级支出0万元，占比0%；经营支出0万元，占比0%；对附属单位补助支出0万元，占比0%。</w:t>
      </w:r>
    </w:p>
    <w:p>
      <w:pPr>
        <w:pStyle w:val="11"/>
        <w:ind w:firstLine="640" w:firstLineChars="200"/>
        <w:rPr>
          <w:rStyle w:val="8"/>
          <w:rFonts w:hAnsi="黑体" w:cs="楷体"/>
          <w:b w:val="0"/>
          <w:color w:val="auto"/>
          <w:kern w:val="2"/>
          <w:sz w:val="32"/>
          <w:szCs w:val="32"/>
          <w:shd w:val="clear" w:color="auto" w:fill="FFFFFF"/>
        </w:rPr>
      </w:pPr>
      <w:r>
        <w:rPr>
          <w:rStyle w:val="8"/>
          <w:rFonts w:hint="eastAsia" w:hAnsi="黑体" w:cs="楷体"/>
          <w:b w:val="0"/>
          <w:color w:val="auto"/>
          <w:kern w:val="2"/>
          <w:sz w:val="32"/>
          <w:szCs w:val="32"/>
          <w:shd w:val="clear" w:color="auto" w:fill="FFFFFF"/>
        </w:rPr>
        <w:t>四、财政拨款收入支出决算总体情况说明</w:t>
      </w:r>
    </w:p>
    <w:p>
      <w:pPr>
        <w:pStyle w:val="11"/>
        <w:ind w:firstLine="645"/>
        <w:rPr>
          <w:rFonts w:asciiTheme="minorEastAsia" w:hAnsiTheme="minorEastAsia" w:eastAsiaTheme="minorEastAsia"/>
          <w:sz w:val="32"/>
          <w:szCs w:val="32"/>
        </w:rPr>
      </w:pPr>
      <w:r>
        <w:rPr>
          <w:rFonts w:hint="eastAsia" w:ascii="仿宋_GB2312" w:eastAsia="仿宋_GB2312" w:cs="宋体"/>
          <w:color w:val="auto"/>
          <w:kern w:val="2"/>
          <w:sz w:val="32"/>
          <w:szCs w:val="32"/>
        </w:rPr>
        <w:t>2021年度财政拨款收、支总计1849.08万元，与上年相比，减少204.13万元,减少9.94%，主要是因为落实中央和省委省政府过“紧”日子的政策要求压减一般性支出、全院奖金津补贴等支出减少。</w:t>
      </w:r>
    </w:p>
    <w:p>
      <w:pPr>
        <w:pStyle w:val="11"/>
        <w:ind w:firstLine="640" w:firstLineChars="200"/>
        <w:rPr>
          <w:rStyle w:val="8"/>
          <w:rFonts w:hAnsi="黑体" w:cs="楷体"/>
          <w:b w:val="0"/>
          <w:color w:val="auto"/>
          <w:kern w:val="2"/>
          <w:sz w:val="32"/>
          <w:szCs w:val="32"/>
          <w:shd w:val="clear" w:color="auto" w:fill="FFFFFF"/>
        </w:rPr>
      </w:pPr>
      <w:r>
        <w:rPr>
          <w:rStyle w:val="8"/>
          <w:rFonts w:hint="eastAsia" w:hAnsi="黑体" w:cs="楷体"/>
          <w:b w:val="0"/>
          <w:color w:val="auto"/>
          <w:kern w:val="2"/>
          <w:sz w:val="32"/>
          <w:szCs w:val="32"/>
          <w:shd w:val="clear" w:color="auto" w:fill="FFFFFF"/>
        </w:rPr>
        <w:t>五、一般公共预算财政拨款支出决算情况说明</w:t>
      </w:r>
    </w:p>
    <w:p>
      <w:pPr>
        <w:pStyle w:val="5"/>
        <w:widowControl w:val="0"/>
        <w:spacing w:before="0" w:beforeAutospacing="0" w:after="0" w:afterAutospacing="0" w:line="560" w:lineRule="exact"/>
        <w:ind w:firstLine="640" w:firstLineChars="200"/>
        <w:jc w:val="both"/>
        <w:textAlignment w:val="baseline"/>
        <w:rPr>
          <w:rStyle w:val="8"/>
          <w:rFonts w:ascii="楷体_GB2312" w:hAnsi="楷体" w:eastAsia="楷体_GB2312" w:cs="楷体"/>
          <w:b w:val="0"/>
          <w:kern w:val="2"/>
          <w:sz w:val="32"/>
          <w:szCs w:val="32"/>
          <w:shd w:val="clear" w:color="auto" w:fill="FFFFFF"/>
        </w:rPr>
      </w:pPr>
      <w:r>
        <w:rPr>
          <w:rStyle w:val="8"/>
          <w:rFonts w:hint="eastAsia" w:ascii="楷体_GB2312" w:hAnsi="楷体" w:eastAsia="楷体_GB2312" w:cs="楷体"/>
          <w:b w:val="0"/>
          <w:kern w:val="2"/>
          <w:sz w:val="32"/>
          <w:szCs w:val="32"/>
          <w:shd w:val="clear" w:color="auto" w:fill="FFFFFF"/>
        </w:rPr>
        <w:t>（一）财政拨款支出决算总体情况</w:t>
      </w:r>
    </w:p>
    <w:p>
      <w:pPr>
        <w:pStyle w:val="11"/>
        <w:ind w:firstLine="645"/>
        <w:rPr>
          <w:rFonts w:ascii="仿宋_GB2312" w:eastAsia="仿宋_GB2312" w:cs="宋体"/>
          <w:color w:val="auto"/>
          <w:kern w:val="2"/>
          <w:sz w:val="32"/>
          <w:szCs w:val="32"/>
        </w:rPr>
      </w:pPr>
      <w:r>
        <w:rPr>
          <w:rFonts w:hint="eastAsia" w:ascii="仿宋_GB2312" w:eastAsia="仿宋_GB2312" w:cs="宋体"/>
          <w:color w:val="auto"/>
          <w:kern w:val="2"/>
          <w:sz w:val="32"/>
          <w:szCs w:val="32"/>
        </w:rPr>
        <w:t>2021年度财政拨款支出1827.09万元，占本年支出合计的88.45%，与上年相比，财政拨款支出减少201.94万元，减少9.95%，主要是因为机关建设项目支出减少、奖金津补贴等支出减少。</w:t>
      </w:r>
    </w:p>
    <w:p>
      <w:pPr>
        <w:pStyle w:val="5"/>
        <w:widowControl w:val="0"/>
        <w:spacing w:before="0" w:beforeAutospacing="0" w:after="0" w:afterAutospacing="0" w:line="560" w:lineRule="exact"/>
        <w:ind w:firstLine="640" w:firstLineChars="200"/>
        <w:jc w:val="both"/>
        <w:textAlignment w:val="baseline"/>
        <w:rPr>
          <w:rStyle w:val="8"/>
          <w:rFonts w:ascii="楷体_GB2312" w:hAnsi="楷体" w:eastAsia="楷体_GB2312" w:cs="楷体"/>
          <w:b w:val="0"/>
          <w:kern w:val="2"/>
          <w:sz w:val="32"/>
          <w:szCs w:val="32"/>
          <w:shd w:val="clear" w:color="auto" w:fill="FFFFFF"/>
        </w:rPr>
      </w:pPr>
      <w:r>
        <w:rPr>
          <w:rStyle w:val="8"/>
          <w:rFonts w:hint="eastAsia" w:ascii="楷体_GB2312" w:hAnsi="楷体" w:eastAsia="楷体_GB2312" w:cs="楷体"/>
          <w:b w:val="0"/>
          <w:kern w:val="2"/>
          <w:sz w:val="32"/>
          <w:szCs w:val="32"/>
          <w:shd w:val="clear" w:color="auto" w:fill="FFFFFF"/>
        </w:rPr>
        <w:t>（二）财政拨款支出决算结构情况</w:t>
      </w:r>
    </w:p>
    <w:p>
      <w:pPr>
        <w:pStyle w:val="11"/>
        <w:ind w:firstLine="645"/>
        <w:rPr>
          <w:rFonts w:ascii="仿宋_GB2312" w:eastAsia="仿宋_GB2312" w:cs="宋体"/>
          <w:color w:val="auto"/>
          <w:kern w:val="2"/>
          <w:sz w:val="32"/>
          <w:szCs w:val="32"/>
        </w:rPr>
      </w:pPr>
      <w:r>
        <w:rPr>
          <w:rFonts w:hint="eastAsia" w:ascii="仿宋_GB2312" w:eastAsia="仿宋_GB2312" w:cs="宋体"/>
          <w:color w:val="auto"/>
          <w:kern w:val="2"/>
          <w:sz w:val="32"/>
          <w:szCs w:val="32"/>
        </w:rPr>
        <w:t>2021年度财政拨款支出1827.09万元，主要用于以下方面：一般公共服务（类）支出1592.07，占比87.14%；教育（类）支出2万元，占比0.11%；社会保障和就业支出86.42万元，占比4.73%；卫生健康支出41.6万元，占比2.28%；住房保障支出105万元，占比5.74%。</w:t>
      </w:r>
    </w:p>
    <w:p>
      <w:pPr>
        <w:pStyle w:val="5"/>
        <w:widowControl w:val="0"/>
        <w:spacing w:before="0" w:beforeAutospacing="0" w:after="0" w:afterAutospacing="0" w:line="560" w:lineRule="exact"/>
        <w:ind w:firstLine="640" w:firstLineChars="200"/>
        <w:jc w:val="both"/>
        <w:textAlignment w:val="baseline"/>
        <w:rPr>
          <w:rStyle w:val="8"/>
          <w:rFonts w:ascii="楷体_GB2312" w:hAnsi="楷体" w:eastAsia="楷体_GB2312" w:cs="楷体"/>
          <w:b w:val="0"/>
          <w:kern w:val="2"/>
          <w:sz w:val="32"/>
          <w:szCs w:val="32"/>
          <w:shd w:val="clear" w:color="auto" w:fill="FFFFFF"/>
        </w:rPr>
      </w:pPr>
      <w:r>
        <w:rPr>
          <w:rStyle w:val="8"/>
          <w:rFonts w:hint="eastAsia" w:ascii="楷体_GB2312" w:hAnsi="楷体" w:eastAsia="楷体_GB2312" w:cs="楷体"/>
          <w:b w:val="0"/>
          <w:kern w:val="2"/>
          <w:sz w:val="32"/>
          <w:szCs w:val="32"/>
          <w:shd w:val="clear" w:color="auto" w:fill="FFFFFF"/>
        </w:rPr>
        <w:t>（三）财政拨款支出决算具体情况</w:t>
      </w:r>
    </w:p>
    <w:p>
      <w:pPr>
        <w:pStyle w:val="11"/>
        <w:ind w:firstLine="645"/>
        <w:rPr>
          <w:rFonts w:ascii="仿宋_GB2312" w:eastAsia="仿宋_GB2312" w:cs="宋体"/>
          <w:color w:val="auto"/>
          <w:kern w:val="2"/>
          <w:sz w:val="32"/>
          <w:szCs w:val="32"/>
        </w:rPr>
      </w:pPr>
      <w:r>
        <w:rPr>
          <w:rFonts w:hint="eastAsia" w:ascii="仿宋_GB2312" w:eastAsia="仿宋_GB2312" w:cs="宋体"/>
          <w:color w:val="auto"/>
          <w:kern w:val="2"/>
          <w:sz w:val="32"/>
          <w:szCs w:val="32"/>
        </w:rPr>
        <w:t>2021年度财政拨款支出年初预算数为1697.76万元，支出决算数为1827.09万元，完成年初预算的107.62%，其中：</w:t>
      </w:r>
    </w:p>
    <w:p>
      <w:pPr>
        <w:pStyle w:val="11"/>
        <w:ind w:firstLine="645"/>
        <w:rPr>
          <w:rFonts w:ascii="仿宋_GB2312" w:eastAsia="仿宋_GB2312" w:cs="宋体"/>
          <w:color w:val="auto"/>
          <w:kern w:val="2"/>
          <w:sz w:val="32"/>
          <w:szCs w:val="32"/>
        </w:rPr>
      </w:pPr>
      <w:r>
        <w:rPr>
          <w:rFonts w:hint="eastAsia" w:ascii="仿宋_GB2312" w:eastAsia="仿宋_GB2312" w:cs="宋体"/>
          <w:color w:val="auto"/>
          <w:kern w:val="2"/>
          <w:sz w:val="32"/>
          <w:szCs w:val="32"/>
        </w:rPr>
        <w:t>1、公共安全支出-公安-行政运行支出年初预算0万元，决算数26万元，决算数大于年初预算数的主要原因是：年中下达了办公办案项目经费26万元。</w:t>
      </w:r>
    </w:p>
    <w:p>
      <w:pPr>
        <w:pStyle w:val="11"/>
        <w:ind w:firstLine="645"/>
        <w:rPr>
          <w:rFonts w:ascii="仿宋_GB2312" w:eastAsia="仿宋_GB2312" w:cs="宋体"/>
          <w:color w:val="auto"/>
          <w:kern w:val="2"/>
          <w:sz w:val="32"/>
          <w:szCs w:val="32"/>
        </w:rPr>
      </w:pPr>
      <w:r>
        <w:rPr>
          <w:rFonts w:hint="eastAsia" w:ascii="仿宋_GB2312" w:eastAsia="仿宋_GB2312" w:cs="宋体"/>
          <w:color w:val="auto"/>
          <w:kern w:val="2"/>
          <w:sz w:val="32"/>
          <w:szCs w:val="32"/>
        </w:rPr>
        <w:t>2、公共安全支出-公安-一般行政管理事务支出年初预算0万元，决算数3万元，决算数大于年初预算数的主要原因是：年中指标调剂用于采购设备3万元。</w:t>
      </w:r>
    </w:p>
    <w:p>
      <w:pPr>
        <w:pStyle w:val="11"/>
        <w:ind w:firstLine="645"/>
        <w:rPr>
          <w:rFonts w:ascii="仿宋_GB2312" w:eastAsia="仿宋_GB2312" w:cs="宋体"/>
          <w:color w:val="auto"/>
          <w:kern w:val="2"/>
          <w:sz w:val="32"/>
          <w:szCs w:val="32"/>
        </w:rPr>
      </w:pPr>
      <w:r>
        <w:rPr>
          <w:rFonts w:hint="eastAsia" w:ascii="仿宋_GB2312" w:eastAsia="仿宋_GB2312" w:cs="宋体"/>
          <w:color w:val="auto"/>
          <w:kern w:val="2"/>
          <w:sz w:val="32"/>
          <w:szCs w:val="32"/>
        </w:rPr>
        <w:t>3、公共安全-检察-行政运行支出年初预算1400.54万元，决算数1393.45万元，完成年初预算的99.49%，决算数略小于年初预算数的主要原因是奖金津补贴等支出减少，预算执行力度不够。</w:t>
      </w:r>
    </w:p>
    <w:p>
      <w:pPr>
        <w:pStyle w:val="11"/>
        <w:ind w:firstLine="645"/>
        <w:rPr>
          <w:rFonts w:ascii="仿宋_GB2312" w:eastAsia="仿宋_GB2312" w:cs="宋体"/>
          <w:color w:val="auto"/>
          <w:kern w:val="2"/>
          <w:sz w:val="32"/>
          <w:szCs w:val="32"/>
        </w:rPr>
      </w:pPr>
      <w:r>
        <w:rPr>
          <w:rFonts w:hint="eastAsia" w:ascii="仿宋_GB2312" w:eastAsia="仿宋_GB2312" w:cs="宋体"/>
          <w:color w:val="auto"/>
          <w:kern w:val="2"/>
          <w:sz w:val="32"/>
          <w:szCs w:val="32"/>
        </w:rPr>
        <w:t>4、公共安全-检察-一般行政管理事务支出年初预算38.2万元，决算数145.62万元，完成年初预算的381.20%。决算数大于年初预算数的主要原因是：办案成本补偿用于我院办案经费开支、争先创优导致办案经费增加、新增工作网电脑购置和智能门禁系统等项目经费。</w:t>
      </w:r>
    </w:p>
    <w:p>
      <w:pPr>
        <w:pStyle w:val="11"/>
        <w:ind w:firstLine="645"/>
        <w:rPr>
          <w:rFonts w:ascii="仿宋_GB2312" w:eastAsia="仿宋_GB2312" w:cs="宋体"/>
          <w:color w:val="auto"/>
          <w:kern w:val="2"/>
          <w:sz w:val="32"/>
          <w:szCs w:val="32"/>
        </w:rPr>
      </w:pPr>
      <w:r>
        <w:rPr>
          <w:rFonts w:hint="eastAsia" w:ascii="仿宋_GB2312" w:eastAsia="仿宋_GB2312" w:cs="宋体"/>
          <w:color w:val="auto"/>
          <w:kern w:val="2"/>
          <w:sz w:val="32"/>
          <w:szCs w:val="32"/>
        </w:rPr>
        <w:t>5、公共安全-检察-检察监督支出年初预算为24万元，决算支出数24万元，完成年初预算的100%。</w:t>
      </w:r>
    </w:p>
    <w:p>
      <w:pPr>
        <w:pStyle w:val="11"/>
        <w:ind w:firstLine="645"/>
        <w:rPr>
          <w:rFonts w:ascii="仿宋_GB2312" w:eastAsia="仿宋_GB2312" w:cs="宋体"/>
          <w:color w:val="auto"/>
          <w:kern w:val="2"/>
          <w:sz w:val="32"/>
          <w:szCs w:val="32"/>
        </w:rPr>
      </w:pPr>
      <w:r>
        <w:rPr>
          <w:rFonts w:hint="eastAsia" w:ascii="仿宋_GB2312" w:eastAsia="仿宋_GB2312" w:cs="宋体"/>
          <w:color w:val="auto"/>
          <w:kern w:val="2"/>
          <w:sz w:val="32"/>
          <w:szCs w:val="32"/>
        </w:rPr>
        <w:t>6、社会保障和就业支出-行政事业单位养老支出-机关事业单位基本养老保险缴费支出年初预算79.2万元，决算数79.2万元，完成年初预算的100%。</w:t>
      </w:r>
    </w:p>
    <w:p>
      <w:pPr>
        <w:pStyle w:val="11"/>
        <w:ind w:firstLine="645"/>
        <w:rPr>
          <w:rFonts w:ascii="仿宋_GB2312" w:eastAsia="仿宋_GB2312" w:cs="宋体"/>
          <w:color w:val="auto"/>
          <w:kern w:val="2"/>
          <w:sz w:val="32"/>
          <w:szCs w:val="32"/>
        </w:rPr>
      </w:pPr>
      <w:r>
        <w:rPr>
          <w:rFonts w:hint="eastAsia" w:ascii="仿宋_GB2312" w:eastAsia="仿宋_GB2312" w:cs="宋体"/>
          <w:color w:val="auto"/>
          <w:kern w:val="2"/>
          <w:sz w:val="32"/>
          <w:szCs w:val="32"/>
        </w:rPr>
        <w:t>7、社会保障和就业支出-其他社会保障和就业支出-其他社会保障和就业支出年初预算7.22万元，决算数7.22万元，完成年初预算的100%。</w:t>
      </w:r>
    </w:p>
    <w:p>
      <w:pPr>
        <w:pStyle w:val="11"/>
        <w:ind w:firstLine="645"/>
        <w:rPr>
          <w:rFonts w:ascii="仿宋_GB2312" w:eastAsia="仿宋_GB2312" w:cs="宋体"/>
          <w:color w:val="auto"/>
          <w:kern w:val="2"/>
          <w:sz w:val="32"/>
          <w:szCs w:val="32"/>
        </w:rPr>
      </w:pPr>
      <w:r>
        <w:rPr>
          <w:rFonts w:hint="eastAsia" w:ascii="仿宋_GB2312" w:eastAsia="仿宋_GB2312" w:cs="宋体"/>
          <w:color w:val="auto"/>
          <w:kern w:val="2"/>
          <w:sz w:val="32"/>
          <w:szCs w:val="32"/>
        </w:rPr>
        <w:t>8、卫生健康支出-行政事业单位医疗-行政单位医疗支出年初预算39.6万元，决算数39.6万元，完成年初预算的100%。</w:t>
      </w:r>
    </w:p>
    <w:p>
      <w:pPr>
        <w:pStyle w:val="11"/>
        <w:ind w:firstLine="645"/>
        <w:rPr>
          <w:rFonts w:ascii="仿宋_GB2312" w:eastAsia="仿宋_GB2312" w:cs="宋体"/>
          <w:color w:val="auto"/>
          <w:kern w:val="2"/>
          <w:sz w:val="32"/>
          <w:szCs w:val="32"/>
        </w:rPr>
      </w:pPr>
      <w:r>
        <w:rPr>
          <w:rFonts w:hint="eastAsia" w:ascii="仿宋_GB2312" w:eastAsia="仿宋_GB2312" w:cs="宋体"/>
          <w:color w:val="auto"/>
          <w:kern w:val="2"/>
          <w:sz w:val="32"/>
          <w:szCs w:val="32"/>
        </w:rPr>
        <w:t>9、卫生健康支出-行政事业单位医疗-公务员医疗补助支出年初预算2万元，决算数2万元，完成年初预算的100%。</w:t>
      </w:r>
    </w:p>
    <w:p>
      <w:pPr>
        <w:pStyle w:val="11"/>
        <w:ind w:firstLine="645"/>
        <w:rPr>
          <w:rFonts w:ascii="仿宋_GB2312" w:eastAsia="仿宋_GB2312" w:cs="宋体"/>
          <w:color w:val="auto"/>
          <w:kern w:val="2"/>
          <w:sz w:val="32"/>
          <w:szCs w:val="32"/>
        </w:rPr>
      </w:pPr>
      <w:r>
        <w:rPr>
          <w:rFonts w:hint="eastAsia" w:ascii="仿宋_GB2312" w:eastAsia="仿宋_GB2312" w:cs="宋体"/>
          <w:color w:val="auto"/>
          <w:kern w:val="2"/>
          <w:sz w:val="32"/>
          <w:szCs w:val="32"/>
        </w:rPr>
        <w:t>10、住房保障支出-住房改革支出-住房公积金支出年初预算105万元，决算数105万元，完成年初预算的100%。</w:t>
      </w:r>
    </w:p>
    <w:p>
      <w:pPr>
        <w:pStyle w:val="11"/>
        <w:ind w:firstLine="645"/>
        <w:rPr>
          <w:rFonts w:ascii="仿宋_GB2312" w:eastAsia="仿宋_GB2312" w:cs="宋体"/>
          <w:color w:val="auto"/>
          <w:kern w:val="2"/>
          <w:sz w:val="32"/>
          <w:szCs w:val="32"/>
        </w:rPr>
      </w:pPr>
      <w:r>
        <w:rPr>
          <w:rFonts w:hint="eastAsia" w:ascii="仿宋_GB2312" w:eastAsia="仿宋_GB2312" w:cs="宋体"/>
          <w:color w:val="auto"/>
          <w:kern w:val="2"/>
          <w:sz w:val="32"/>
          <w:szCs w:val="32"/>
        </w:rPr>
        <w:t>11、教育支出-进修及培训-培训支出年初预算2万元，决算数2万元，完成年初预算的100%。</w:t>
      </w:r>
    </w:p>
    <w:p>
      <w:pPr>
        <w:pStyle w:val="11"/>
        <w:ind w:firstLine="640" w:firstLineChars="200"/>
        <w:rPr>
          <w:rStyle w:val="8"/>
          <w:rFonts w:hAnsi="黑体" w:cs="楷体"/>
          <w:b w:val="0"/>
          <w:color w:val="auto"/>
          <w:kern w:val="2"/>
          <w:sz w:val="32"/>
          <w:szCs w:val="32"/>
          <w:shd w:val="clear" w:color="auto" w:fill="FFFFFF"/>
        </w:rPr>
      </w:pPr>
      <w:r>
        <w:rPr>
          <w:rStyle w:val="8"/>
          <w:rFonts w:hint="eastAsia" w:hAnsi="黑体" w:cs="楷体"/>
          <w:b w:val="0"/>
          <w:color w:val="auto"/>
          <w:kern w:val="2"/>
          <w:sz w:val="32"/>
          <w:szCs w:val="32"/>
          <w:shd w:val="clear" w:color="auto" w:fill="FFFFFF"/>
        </w:rPr>
        <w:t>六、一般公共预算财政拨款基本支出决算情况说明</w:t>
      </w:r>
    </w:p>
    <w:p>
      <w:pPr>
        <w:pStyle w:val="11"/>
        <w:ind w:firstLine="645"/>
        <w:rPr>
          <w:rFonts w:ascii="仿宋_GB2312" w:eastAsia="仿宋_GB2312" w:cs="宋体"/>
          <w:color w:val="auto"/>
          <w:kern w:val="2"/>
          <w:sz w:val="32"/>
          <w:szCs w:val="32"/>
        </w:rPr>
      </w:pPr>
      <w:r>
        <w:rPr>
          <w:rFonts w:hint="eastAsia" w:ascii="仿宋_GB2312" w:eastAsia="仿宋_GB2312" w:cs="宋体"/>
          <w:color w:val="auto"/>
          <w:kern w:val="2"/>
          <w:sz w:val="32"/>
          <w:szCs w:val="32"/>
        </w:rPr>
        <w:t>2021年度财政拨款基本支出1654.47万元，其中：人员经费1121.42万元，占基本支出的67.78%,主要包括基本工资、津贴补贴、奖金、伙食补助费、绩效工资、机关事业单位基本养老保险缴费、职业年金缴费、职工基本医疗保险缴费、公务员医疗补助缴费、其他社会保障缴费、住房公积金、医疗费、其他工资福利支出、离休费、退休费、退职（役）费、抚恤金、生活补助、救济费、医疗费补助、助学金、奖励金、个人农业生产补贴、代缴社会保险费、其他对个人和家庭的补助；公用经费533.05万元，占基本支出的32.22%，主要包括办公费、印刷费、咨询费、手续费、水费、电费、邮电费、取暖费、物业管理费、差旅费、因公出国（境）费、维修（护）费、租赁费、会议费、培训费、公务接待费、委托业务费、工会经费、福利费、公务用车运行维护费、其他交通费用、税金及附加费用、其他商品和服务支出、国内外债务付息、房屋建筑物购置、办公设备购置、专用设备购置、基础设施建设、大型修缮、信息网络及软件购置更新、物资储备、土地补偿、安置补助、地上附着物及青苗补助、拆迁补偿、公务用车购置、其他交通工具购置、文物和陈列品购置、无形资产购置、其他资本性支出、赠与、国家赔偿费用支出、对民间非盈利组织和群众自治组织补贴、其他支出。</w:t>
      </w:r>
    </w:p>
    <w:p>
      <w:pPr>
        <w:pStyle w:val="11"/>
        <w:ind w:firstLine="640" w:firstLineChars="200"/>
        <w:rPr>
          <w:rStyle w:val="8"/>
          <w:rFonts w:hAnsi="黑体" w:cs="楷体"/>
          <w:b w:val="0"/>
          <w:color w:val="auto"/>
          <w:kern w:val="2"/>
          <w:sz w:val="32"/>
          <w:szCs w:val="32"/>
          <w:shd w:val="clear" w:color="auto" w:fill="FFFFFF"/>
        </w:rPr>
      </w:pPr>
      <w:r>
        <w:rPr>
          <w:rStyle w:val="8"/>
          <w:rFonts w:hint="eastAsia" w:hAnsi="黑体" w:cs="楷体"/>
          <w:b w:val="0"/>
          <w:color w:val="auto"/>
          <w:kern w:val="2"/>
          <w:sz w:val="32"/>
          <w:szCs w:val="32"/>
          <w:shd w:val="clear" w:color="auto" w:fill="FFFFFF"/>
        </w:rPr>
        <w:t>七、一般公共预算财政拨款“三公”经费支出决算情况说明</w:t>
      </w:r>
    </w:p>
    <w:p>
      <w:pPr>
        <w:pStyle w:val="5"/>
        <w:widowControl w:val="0"/>
        <w:spacing w:before="0" w:beforeAutospacing="0" w:after="0" w:afterAutospacing="0" w:line="560" w:lineRule="exact"/>
        <w:ind w:firstLine="640" w:firstLineChars="200"/>
        <w:jc w:val="both"/>
        <w:textAlignment w:val="baseline"/>
        <w:rPr>
          <w:rStyle w:val="8"/>
          <w:rFonts w:ascii="楷体_GB2312" w:hAnsi="楷体" w:eastAsia="楷体_GB2312" w:cs="楷体"/>
          <w:b w:val="0"/>
          <w:kern w:val="2"/>
          <w:sz w:val="32"/>
          <w:szCs w:val="32"/>
          <w:shd w:val="clear" w:color="auto" w:fill="FFFFFF"/>
        </w:rPr>
      </w:pPr>
      <w:r>
        <w:rPr>
          <w:rStyle w:val="8"/>
          <w:rFonts w:hint="eastAsia" w:ascii="楷体_GB2312" w:hAnsi="楷体" w:eastAsia="楷体_GB2312" w:cs="楷体"/>
          <w:b w:val="0"/>
          <w:kern w:val="2"/>
          <w:sz w:val="32"/>
          <w:szCs w:val="32"/>
          <w:shd w:val="clear" w:color="auto" w:fill="FFFFFF"/>
        </w:rPr>
        <w:t>（一）“三公”经费财政拨款支出决算总体情况说明</w:t>
      </w:r>
    </w:p>
    <w:p>
      <w:pPr>
        <w:pStyle w:val="11"/>
        <w:ind w:firstLine="645"/>
        <w:rPr>
          <w:rFonts w:ascii="仿宋_GB2312" w:eastAsia="仿宋_GB2312" w:cs="宋体"/>
          <w:color w:val="auto"/>
          <w:kern w:val="2"/>
          <w:sz w:val="32"/>
          <w:szCs w:val="32"/>
        </w:rPr>
      </w:pPr>
      <w:r>
        <w:rPr>
          <w:rFonts w:hint="eastAsia" w:ascii="仿宋_GB2312" w:eastAsia="仿宋_GB2312" w:cs="宋体"/>
          <w:color w:val="auto"/>
          <w:kern w:val="2"/>
          <w:sz w:val="32"/>
          <w:szCs w:val="32"/>
        </w:rPr>
        <w:t>2021年度“三公”经费财政拨款支出预算为50万元，支出决算为49.87万元，完成预算的99.74%，其中：</w:t>
      </w:r>
    </w:p>
    <w:p>
      <w:pPr>
        <w:pStyle w:val="11"/>
        <w:ind w:firstLine="645"/>
        <w:rPr>
          <w:rFonts w:ascii="仿宋_GB2312" w:eastAsia="仿宋_GB2312" w:cs="宋体"/>
          <w:color w:val="auto"/>
          <w:kern w:val="2"/>
          <w:sz w:val="32"/>
          <w:szCs w:val="32"/>
        </w:rPr>
      </w:pPr>
      <w:r>
        <w:rPr>
          <w:rFonts w:hint="eastAsia" w:ascii="仿宋_GB2312" w:eastAsia="仿宋_GB2312" w:cs="宋体"/>
          <w:color w:val="auto"/>
          <w:kern w:val="2"/>
          <w:sz w:val="32"/>
          <w:szCs w:val="32"/>
        </w:rPr>
        <w:t>因公出国（境）费支出预算为0元，支出决算为0元。预算数等于决算数。</w:t>
      </w:r>
    </w:p>
    <w:p>
      <w:pPr>
        <w:pStyle w:val="11"/>
        <w:ind w:firstLine="645"/>
        <w:rPr>
          <w:rFonts w:ascii="仿宋_GB2312" w:eastAsia="仿宋_GB2312" w:cs="宋体"/>
          <w:color w:val="auto"/>
          <w:kern w:val="2"/>
          <w:sz w:val="32"/>
          <w:szCs w:val="32"/>
        </w:rPr>
      </w:pPr>
      <w:r>
        <w:rPr>
          <w:rFonts w:hint="eastAsia" w:ascii="仿宋_GB2312" w:eastAsia="仿宋_GB2312" w:cs="宋体"/>
          <w:color w:val="auto"/>
          <w:kern w:val="2"/>
          <w:sz w:val="32"/>
          <w:szCs w:val="32"/>
        </w:rPr>
        <w:t>公务接待费支出预算为10万元，支出决算为9.94万元。完成预算的99.4%，决算数约等于预算数，主要是因为严格控制在预算数内支出，不超过年初预算。与上年相比减少9.89万元，减少50%,减少的主要原因是严格遵守中央八项规定，减少不必要接待。</w:t>
      </w:r>
    </w:p>
    <w:p>
      <w:pPr>
        <w:pStyle w:val="11"/>
        <w:ind w:firstLine="645"/>
        <w:rPr>
          <w:rFonts w:ascii="仿宋_GB2312" w:eastAsia="仿宋_GB2312" w:cs="宋体"/>
          <w:color w:val="auto"/>
          <w:kern w:val="2"/>
          <w:sz w:val="32"/>
          <w:szCs w:val="32"/>
        </w:rPr>
      </w:pPr>
      <w:r>
        <w:rPr>
          <w:rFonts w:hint="eastAsia" w:ascii="仿宋_GB2312" w:eastAsia="仿宋_GB2312" w:cs="宋体"/>
          <w:color w:val="auto"/>
          <w:kern w:val="2"/>
          <w:sz w:val="32"/>
          <w:szCs w:val="32"/>
        </w:rPr>
        <w:t>公务用车购置费支出预算为0万元，支出决算为0万元。预算数等于决算数。</w:t>
      </w:r>
    </w:p>
    <w:p>
      <w:pPr>
        <w:pStyle w:val="11"/>
        <w:ind w:firstLine="645"/>
        <w:rPr>
          <w:rFonts w:ascii="仿宋_GB2312" w:eastAsia="仿宋_GB2312" w:cs="宋体"/>
          <w:color w:val="auto"/>
          <w:kern w:val="2"/>
          <w:sz w:val="32"/>
          <w:szCs w:val="32"/>
        </w:rPr>
      </w:pPr>
      <w:r>
        <w:rPr>
          <w:rFonts w:hint="eastAsia" w:ascii="仿宋_GB2312" w:eastAsia="仿宋_GB2312" w:cs="宋体"/>
          <w:color w:val="auto"/>
          <w:kern w:val="2"/>
          <w:sz w:val="32"/>
          <w:szCs w:val="32"/>
        </w:rPr>
        <w:t>公务用车运行维护费支出预算为40万元，支出决算为39.94万元，完成预算的99.85%，决算数约等于预算数，主要是因为严格控制在预算数内支出，不超过年初预算。与上年相比增加5万元，增加的原因是扫黑除恶专项斗争工作效果显著，案件数量逐年攀升，办案成本增加，车辆维修保养支出增加。</w:t>
      </w:r>
    </w:p>
    <w:p>
      <w:pPr>
        <w:pStyle w:val="5"/>
        <w:widowControl w:val="0"/>
        <w:spacing w:before="0" w:beforeAutospacing="0" w:after="0" w:afterAutospacing="0" w:line="560" w:lineRule="exact"/>
        <w:ind w:firstLine="640" w:firstLineChars="200"/>
        <w:jc w:val="both"/>
        <w:textAlignment w:val="baseline"/>
        <w:rPr>
          <w:rStyle w:val="8"/>
          <w:rFonts w:ascii="楷体_GB2312" w:hAnsi="楷体" w:eastAsia="楷体_GB2312" w:cs="楷体"/>
          <w:b w:val="0"/>
          <w:kern w:val="2"/>
          <w:sz w:val="32"/>
          <w:szCs w:val="32"/>
          <w:shd w:val="clear" w:color="auto" w:fill="FFFFFF"/>
        </w:rPr>
      </w:pPr>
      <w:r>
        <w:rPr>
          <w:rStyle w:val="8"/>
          <w:rFonts w:hint="eastAsia" w:ascii="楷体_GB2312" w:hAnsi="楷体" w:eastAsia="楷体_GB2312" w:cs="楷体"/>
          <w:b w:val="0"/>
          <w:kern w:val="2"/>
          <w:sz w:val="32"/>
          <w:szCs w:val="32"/>
          <w:shd w:val="clear" w:color="auto" w:fill="FFFFFF"/>
        </w:rPr>
        <w:t>（二）“三公”经费财政拨款支出决算具体情况说明</w:t>
      </w:r>
    </w:p>
    <w:p>
      <w:pPr>
        <w:pStyle w:val="11"/>
        <w:ind w:firstLine="645"/>
        <w:rPr>
          <w:rFonts w:ascii="仿宋_GB2312" w:eastAsia="仿宋_GB2312" w:cs="宋体"/>
          <w:color w:val="auto"/>
          <w:kern w:val="2"/>
          <w:sz w:val="32"/>
          <w:szCs w:val="32"/>
        </w:rPr>
      </w:pPr>
      <w:r>
        <w:rPr>
          <w:rFonts w:hint="eastAsia" w:ascii="仿宋_GB2312" w:eastAsia="仿宋_GB2312" w:cs="宋体"/>
          <w:color w:val="auto"/>
          <w:kern w:val="2"/>
          <w:sz w:val="32"/>
          <w:szCs w:val="32"/>
        </w:rPr>
        <w:t>2021年度“三公”经费财政拨款支出决算中，公务接待费支出决算9.94万元，占20%,因公出国（境）费支出决算0元，占0%,公务用车购置费及运行维护费支出决算39.94万元，占80%。其中：</w:t>
      </w:r>
    </w:p>
    <w:p>
      <w:pPr>
        <w:pStyle w:val="11"/>
        <w:ind w:firstLine="645"/>
        <w:rPr>
          <w:rFonts w:ascii="仿宋_GB2312" w:eastAsia="仿宋_GB2312" w:cs="宋体"/>
          <w:color w:val="auto"/>
          <w:kern w:val="2"/>
          <w:sz w:val="32"/>
          <w:szCs w:val="32"/>
        </w:rPr>
      </w:pPr>
      <w:r>
        <w:rPr>
          <w:rFonts w:hint="eastAsia" w:ascii="仿宋_GB2312" w:eastAsia="仿宋_GB2312" w:cs="宋体"/>
          <w:color w:val="auto"/>
          <w:kern w:val="2"/>
          <w:sz w:val="32"/>
          <w:szCs w:val="32"/>
        </w:rPr>
        <w:t>1、因公出国（境）费支出决算为0元，全年安排因公出国（境）团组0个，累计0人次。</w:t>
      </w:r>
    </w:p>
    <w:p>
      <w:pPr>
        <w:pStyle w:val="11"/>
        <w:ind w:firstLine="645"/>
        <w:rPr>
          <w:rFonts w:ascii="仿宋_GB2312" w:eastAsia="仿宋_GB2312" w:cs="宋体"/>
          <w:color w:val="auto"/>
          <w:kern w:val="2"/>
          <w:sz w:val="32"/>
          <w:szCs w:val="32"/>
        </w:rPr>
      </w:pPr>
      <w:r>
        <w:rPr>
          <w:rFonts w:hint="eastAsia" w:ascii="仿宋_GB2312" w:eastAsia="仿宋_GB2312" w:cs="宋体"/>
          <w:color w:val="auto"/>
          <w:kern w:val="2"/>
          <w:sz w:val="32"/>
          <w:szCs w:val="32"/>
        </w:rPr>
        <w:t>2、公务接待费支出决算为9.94万元，全年共接待来访团组100个、来宾1237人次，主要是办公办案发生的接待支出。</w:t>
      </w:r>
    </w:p>
    <w:p>
      <w:pPr>
        <w:pStyle w:val="11"/>
        <w:ind w:firstLine="645"/>
        <w:rPr>
          <w:rFonts w:ascii="仿宋_GB2312" w:eastAsia="仿宋_GB2312" w:cs="宋体"/>
          <w:color w:val="auto"/>
          <w:kern w:val="2"/>
          <w:sz w:val="32"/>
          <w:szCs w:val="32"/>
        </w:rPr>
      </w:pPr>
      <w:r>
        <w:rPr>
          <w:rFonts w:hint="eastAsia" w:ascii="仿宋_GB2312" w:eastAsia="仿宋_GB2312" w:cs="宋体"/>
          <w:color w:val="auto"/>
          <w:kern w:val="2"/>
          <w:sz w:val="32"/>
          <w:szCs w:val="32"/>
        </w:rPr>
        <w:t>3、公务用车购置费及运行维护费支出决算为39.94万元，其中：</w:t>
      </w:r>
      <w:r>
        <w:rPr>
          <w:rFonts w:hint="eastAsia" w:ascii="仿宋_GB2312" w:eastAsia="仿宋_GB2312" w:cs="宋体"/>
          <w:color w:val="auto"/>
          <w:kern w:val="2"/>
          <w:sz w:val="32"/>
          <w:szCs w:val="32"/>
          <w:lang w:eastAsia="zh-CN"/>
        </w:rPr>
        <w:t>公务用车购置数</w:t>
      </w:r>
      <w:r>
        <w:rPr>
          <w:rFonts w:hint="eastAsia" w:ascii="仿宋_GB2312" w:eastAsia="仿宋_GB2312" w:cs="宋体"/>
          <w:color w:val="auto"/>
          <w:kern w:val="2"/>
          <w:sz w:val="32"/>
          <w:szCs w:val="32"/>
          <w:lang w:val="en-US" w:eastAsia="zh-CN"/>
        </w:rPr>
        <w:t>0台，</w:t>
      </w:r>
      <w:bookmarkStart w:id="5" w:name="_GoBack"/>
      <w:bookmarkEnd w:id="5"/>
      <w:r>
        <w:rPr>
          <w:rFonts w:hint="eastAsia" w:ascii="仿宋_GB2312" w:eastAsia="仿宋_GB2312" w:cs="宋体"/>
          <w:color w:val="auto"/>
          <w:kern w:val="2"/>
          <w:sz w:val="32"/>
          <w:szCs w:val="32"/>
        </w:rPr>
        <w:t>公务用车购置费0万元。公务用车运行维护费39.94万元，主要是用于机要通信、执法执勤和侦查办案等所需公务车辆的燃料费、维修保养支出、过桥过路费、年审费等支出，截止2021年12月31日，我单位开支财政拨款的公务用车保有量为7辆。</w:t>
      </w:r>
    </w:p>
    <w:p>
      <w:pPr>
        <w:pStyle w:val="11"/>
        <w:ind w:firstLine="640" w:firstLineChars="200"/>
        <w:rPr>
          <w:rStyle w:val="8"/>
          <w:rFonts w:hAnsi="黑体" w:cs="楷体"/>
          <w:b w:val="0"/>
          <w:color w:val="auto"/>
          <w:kern w:val="2"/>
          <w:sz w:val="32"/>
          <w:szCs w:val="32"/>
          <w:shd w:val="clear" w:color="auto" w:fill="FFFFFF"/>
        </w:rPr>
      </w:pPr>
      <w:r>
        <w:rPr>
          <w:rStyle w:val="8"/>
          <w:rFonts w:hint="eastAsia" w:hAnsi="黑体" w:cs="楷体"/>
          <w:b w:val="0"/>
          <w:color w:val="auto"/>
          <w:kern w:val="2"/>
          <w:sz w:val="32"/>
          <w:szCs w:val="32"/>
          <w:shd w:val="clear" w:color="auto" w:fill="FFFFFF"/>
        </w:rPr>
        <w:t>八、政府性基金预算收入支出决算情况</w:t>
      </w:r>
    </w:p>
    <w:p>
      <w:pPr>
        <w:pStyle w:val="11"/>
        <w:rPr>
          <w:rFonts w:asciiTheme="minorEastAsia" w:hAnsiTheme="minorEastAsia" w:eastAsiaTheme="minorEastAsia"/>
          <w:sz w:val="32"/>
          <w:szCs w:val="32"/>
        </w:rPr>
      </w:pPr>
      <w:r>
        <w:rPr>
          <w:rFonts w:hint="eastAsia" w:asciiTheme="minorEastAsia" w:hAnsiTheme="minorEastAsia" w:eastAsiaTheme="minorEastAsia"/>
          <w:sz w:val="32"/>
          <w:szCs w:val="32"/>
        </w:rPr>
        <w:t xml:space="preserve">     </w:t>
      </w:r>
      <w:r>
        <w:rPr>
          <w:rFonts w:hint="eastAsia" w:ascii="仿宋_GB2312" w:eastAsia="仿宋_GB2312" w:cs="宋体"/>
          <w:color w:val="auto"/>
          <w:kern w:val="2"/>
          <w:sz w:val="32"/>
          <w:szCs w:val="32"/>
        </w:rPr>
        <w:t xml:space="preserve">2021年度政府性基金预算财政拨款收入0万元；年初结转和结余0万元；支出0万元，其中基本支出0万元，项目支出0万元；年末结转和结余0万元。 </w:t>
      </w:r>
    </w:p>
    <w:p>
      <w:pPr>
        <w:pStyle w:val="11"/>
        <w:ind w:firstLine="640" w:firstLineChars="200"/>
        <w:rPr>
          <w:rStyle w:val="8"/>
          <w:rFonts w:hAnsi="黑体" w:cs="楷体"/>
          <w:b w:val="0"/>
          <w:color w:val="auto"/>
          <w:kern w:val="2"/>
          <w:sz w:val="32"/>
          <w:szCs w:val="32"/>
          <w:shd w:val="clear" w:color="auto" w:fill="FFFFFF"/>
        </w:rPr>
      </w:pPr>
      <w:r>
        <w:rPr>
          <w:rStyle w:val="8"/>
          <w:rFonts w:hint="eastAsia" w:hAnsi="黑体" w:cs="楷体"/>
          <w:b w:val="0"/>
          <w:color w:val="auto"/>
          <w:kern w:val="2"/>
          <w:sz w:val="32"/>
          <w:szCs w:val="32"/>
          <w:shd w:val="clear" w:color="auto" w:fill="FFFFFF"/>
        </w:rPr>
        <w:t>九、机关运行经费支出说明</w:t>
      </w:r>
    </w:p>
    <w:p>
      <w:pPr>
        <w:pStyle w:val="11"/>
        <w:ind w:firstLine="640" w:firstLineChars="200"/>
        <w:rPr>
          <w:rFonts w:ascii="仿宋_GB2312" w:eastAsia="仿宋_GB2312" w:cs="宋体"/>
          <w:color w:val="auto"/>
          <w:kern w:val="2"/>
          <w:sz w:val="32"/>
          <w:szCs w:val="32"/>
        </w:rPr>
      </w:pPr>
      <w:r>
        <w:rPr>
          <w:rFonts w:hint="eastAsia" w:ascii="仿宋_GB2312" w:eastAsia="仿宋_GB2312" w:cs="宋体"/>
          <w:color w:val="auto"/>
          <w:kern w:val="2"/>
          <w:sz w:val="32"/>
          <w:szCs w:val="32"/>
        </w:rPr>
        <w:t>本部门2021年度机关运行经费支出533.05万元，比上年决算数增加17.27 万元，增长3.3 %。主要原因是：扫黑除恶专项斗争工作效果显著，案件数量逐年攀升，办案成本增加。</w:t>
      </w:r>
    </w:p>
    <w:p>
      <w:pPr>
        <w:pStyle w:val="11"/>
        <w:ind w:firstLine="640" w:firstLineChars="200"/>
        <w:rPr>
          <w:rStyle w:val="8"/>
          <w:rFonts w:hAnsi="黑体" w:cs="楷体"/>
          <w:b w:val="0"/>
          <w:color w:val="auto"/>
          <w:kern w:val="2"/>
          <w:sz w:val="32"/>
          <w:szCs w:val="32"/>
          <w:shd w:val="clear" w:color="auto" w:fill="FFFFFF"/>
        </w:rPr>
      </w:pPr>
      <w:r>
        <w:rPr>
          <w:rStyle w:val="8"/>
          <w:rFonts w:hint="eastAsia" w:hAnsi="黑体" w:cs="楷体"/>
          <w:b w:val="0"/>
          <w:color w:val="auto"/>
          <w:kern w:val="2"/>
          <w:sz w:val="32"/>
          <w:szCs w:val="32"/>
          <w:shd w:val="clear" w:color="auto" w:fill="FFFFFF"/>
        </w:rPr>
        <w:t>十、一般性支出情况说明</w:t>
      </w:r>
    </w:p>
    <w:p>
      <w:pPr>
        <w:pStyle w:val="11"/>
        <w:ind w:firstLine="640" w:firstLineChars="200"/>
        <w:rPr>
          <w:rFonts w:ascii="仿宋_GB2312" w:eastAsia="仿宋_GB2312" w:cs="宋体"/>
          <w:color w:val="auto"/>
          <w:kern w:val="2"/>
          <w:sz w:val="32"/>
          <w:szCs w:val="32"/>
        </w:rPr>
      </w:pPr>
      <w:r>
        <w:rPr>
          <w:rFonts w:hint="eastAsia" w:ascii="仿宋_GB2312" w:eastAsia="仿宋_GB2312" w:cs="宋体"/>
          <w:color w:val="auto"/>
          <w:kern w:val="2"/>
          <w:sz w:val="32"/>
          <w:szCs w:val="32"/>
        </w:rPr>
        <w:t>2021年本部门开支会议费0万元；开支培训费2万元，参加上级检察机关有关单位培训20次，人数34人次；无节庆、晚会、论坛、赛事等活动。</w:t>
      </w:r>
    </w:p>
    <w:p>
      <w:pPr>
        <w:pStyle w:val="11"/>
        <w:ind w:firstLine="640" w:firstLineChars="200"/>
        <w:rPr>
          <w:rStyle w:val="8"/>
          <w:rFonts w:hAnsi="黑体" w:cs="楷体"/>
          <w:b w:val="0"/>
          <w:color w:val="auto"/>
          <w:kern w:val="2"/>
          <w:sz w:val="32"/>
          <w:szCs w:val="32"/>
          <w:shd w:val="clear" w:color="auto" w:fill="FFFFFF"/>
        </w:rPr>
      </w:pPr>
      <w:r>
        <w:rPr>
          <w:rStyle w:val="8"/>
          <w:rFonts w:hint="eastAsia" w:hAnsi="黑体" w:cs="楷体"/>
          <w:b w:val="0"/>
          <w:color w:val="auto"/>
          <w:kern w:val="2"/>
          <w:sz w:val="32"/>
          <w:szCs w:val="32"/>
          <w:shd w:val="clear" w:color="auto" w:fill="FFFFFF"/>
        </w:rPr>
        <w:t>十一、政府采购支出说明</w:t>
      </w:r>
    </w:p>
    <w:p>
      <w:pPr>
        <w:pStyle w:val="11"/>
        <w:ind w:firstLine="640" w:firstLineChars="200"/>
        <w:rPr>
          <w:rFonts w:ascii="仿宋_GB2312" w:eastAsia="仿宋_GB2312" w:cs="宋体"/>
          <w:color w:val="auto"/>
          <w:kern w:val="2"/>
          <w:sz w:val="32"/>
          <w:szCs w:val="32"/>
        </w:rPr>
      </w:pPr>
      <w:r>
        <w:rPr>
          <w:rFonts w:hint="eastAsia" w:ascii="仿宋_GB2312" w:eastAsia="仿宋_GB2312" w:cs="宋体"/>
          <w:color w:val="auto"/>
          <w:kern w:val="2"/>
          <w:sz w:val="32"/>
          <w:szCs w:val="32"/>
        </w:rPr>
        <w:t>本部门2021年度政府采购支出总额63.89万元，其中：政府采购货物支出43.89 万元、政府采购工程支出0万元、政府采购服务支出20万元。授予中小企业合同金额63.89万元，占政府采购支出总额的100%，其中：授予小微企业合同金额63.89万元，占授予中小企业合同金额的100%；货物采购授予中小企业合同金额占货物支出金额的68.7%，工程采购授予中小企业合同金额占货物支出金额的0%，服务采购授予中小企业合同金额占服务支出金额的31.3%。</w:t>
      </w:r>
    </w:p>
    <w:p>
      <w:pPr>
        <w:pStyle w:val="11"/>
        <w:ind w:firstLine="640" w:firstLineChars="200"/>
        <w:rPr>
          <w:rStyle w:val="8"/>
          <w:rFonts w:hAnsi="黑体" w:cs="楷体"/>
          <w:b w:val="0"/>
          <w:color w:val="auto"/>
          <w:kern w:val="2"/>
          <w:sz w:val="32"/>
          <w:szCs w:val="32"/>
          <w:shd w:val="clear" w:color="auto" w:fill="FFFFFF"/>
        </w:rPr>
      </w:pPr>
      <w:r>
        <w:rPr>
          <w:rStyle w:val="8"/>
          <w:rFonts w:hint="eastAsia" w:hAnsi="黑体" w:cs="楷体"/>
          <w:b w:val="0"/>
          <w:color w:val="auto"/>
          <w:kern w:val="2"/>
          <w:sz w:val="32"/>
          <w:szCs w:val="32"/>
          <w:shd w:val="clear" w:color="auto" w:fill="FFFFFF"/>
        </w:rPr>
        <w:t>十二、国有资产占用情况说明</w:t>
      </w:r>
    </w:p>
    <w:p>
      <w:pPr>
        <w:pStyle w:val="11"/>
        <w:ind w:firstLine="640" w:firstLineChars="200"/>
        <w:rPr>
          <w:rFonts w:ascii="仿宋_GB2312" w:eastAsia="仿宋_GB2312" w:cs="宋体"/>
          <w:color w:val="auto"/>
          <w:kern w:val="2"/>
          <w:sz w:val="32"/>
          <w:szCs w:val="32"/>
        </w:rPr>
      </w:pPr>
      <w:r>
        <w:rPr>
          <w:rFonts w:hint="eastAsia" w:ascii="仿宋_GB2312" w:eastAsia="仿宋_GB2312" w:cs="宋体"/>
          <w:color w:val="auto"/>
          <w:kern w:val="2"/>
          <w:sz w:val="32"/>
          <w:szCs w:val="32"/>
        </w:rPr>
        <w:t>截至2021年12月31日，部门（单位）共有车辆7辆，其中，主要领导干部用车0辆，机要通信用车1辆、应急保障用车0辆、执法执勤用车6辆、特种专业技术用车0辆、其他用车0辆；单位价值50万元以上通用设备1套；单位价值100万元以上专用设备0台（套）。</w:t>
      </w:r>
    </w:p>
    <w:p>
      <w:pPr>
        <w:pStyle w:val="11"/>
        <w:ind w:firstLine="640" w:firstLineChars="200"/>
        <w:rPr>
          <w:rStyle w:val="8"/>
          <w:rFonts w:hAnsi="黑体" w:cs="楷体"/>
          <w:b w:val="0"/>
          <w:color w:val="auto"/>
          <w:kern w:val="2"/>
          <w:sz w:val="32"/>
          <w:szCs w:val="32"/>
          <w:shd w:val="clear" w:color="auto" w:fill="FFFFFF"/>
        </w:rPr>
      </w:pPr>
      <w:r>
        <w:rPr>
          <w:rStyle w:val="8"/>
          <w:rFonts w:hint="eastAsia" w:hAnsi="黑体" w:cs="楷体"/>
          <w:b w:val="0"/>
          <w:color w:val="auto"/>
          <w:kern w:val="2"/>
          <w:sz w:val="32"/>
          <w:szCs w:val="32"/>
          <w:shd w:val="clear" w:color="auto" w:fill="FFFFFF"/>
        </w:rPr>
        <w:t>十三、2021年度预算绩效情况说明</w:t>
      </w:r>
    </w:p>
    <w:p>
      <w:pPr>
        <w:spacing w:line="540" w:lineRule="exact"/>
        <w:ind w:firstLine="640" w:firstLineChars="200"/>
        <w:rPr>
          <w:rStyle w:val="8"/>
          <w:rFonts w:ascii="楷体_GB2312" w:hAnsi="楷体" w:eastAsia="楷体_GB2312" w:cs="楷体"/>
          <w:b w:val="0"/>
          <w:sz w:val="32"/>
          <w:szCs w:val="32"/>
          <w:shd w:val="clear" w:color="auto" w:fill="FFFFFF"/>
        </w:rPr>
      </w:pPr>
      <w:r>
        <w:rPr>
          <w:rStyle w:val="8"/>
          <w:rFonts w:hint="eastAsia" w:ascii="楷体_GB2312" w:hAnsi="楷体" w:eastAsia="楷体_GB2312" w:cs="楷体"/>
          <w:b w:val="0"/>
          <w:sz w:val="32"/>
          <w:szCs w:val="32"/>
          <w:shd w:val="clear" w:color="auto" w:fill="FFFFFF"/>
        </w:rPr>
        <w:t>(一)、坚持检察担当，服务涟源经济社会发展</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始终把检察工作摆到全市大局中谋划和推进，不断促进检察履职与涟源经济社会发展大局深度融合。</w:t>
      </w:r>
    </w:p>
    <w:p>
      <w:pPr>
        <w:spacing w:line="540" w:lineRule="exact"/>
        <w:ind w:firstLine="640" w:firstLineChars="200"/>
        <w:rPr>
          <w:rFonts w:ascii="仿宋" w:hAnsi="仿宋" w:eastAsia="仿宋" w:cs="仿宋"/>
          <w:sz w:val="32"/>
          <w:szCs w:val="32"/>
        </w:rPr>
      </w:pPr>
      <w:r>
        <w:rPr>
          <w:rFonts w:hint="eastAsia" w:ascii="楷体" w:hAnsi="楷体" w:eastAsia="楷体" w:cs="楷体"/>
          <w:b/>
          <w:bCs/>
          <w:sz w:val="32"/>
          <w:szCs w:val="32"/>
        </w:rPr>
        <w:t>用心用情优化营商环境。</w:t>
      </w:r>
      <w:r>
        <w:rPr>
          <w:rFonts w:hint="eastAsia" w:ascii="仿宋" w:hAnsi="仿宋" w:eastAsia="仿宋" w:cs="仿宋"/>
          <w:sz w:val="32"/>
          <w:szCs w:val="32"/>
        </w:rPr>
        <w:t>全力服务“六稳”“六保”，加大平等保护民营经济力度，对扰乱市场秩序、破坏生产经营等侵犯企业合法权益的犯罪嫌疑人批捕35人，起诉39人。坚持惩治与保护并重，对犯罪情节轻微的民营企业经营者、管理者依法不批捕</w:t>
      </w:r>
      <w:r>
        <w:rPr>
          <w:rFonts w:ascii="仿宋" w:hAnsi="仿宋" w:eastAsia="仿宋" w:cs="仿宋"/>
          <w:sz w:val="32"/>
          <w:szCs w:val="32"/>
        </w:rPr>
        <w:t>9</w:t>
      </w:r>
      <w:r>
        <w:rPr>
          <w:rFonts w:hint="eastAsia" w:ascii="仿宋" w:hAnsi="仿宋" w:eastAsia="仿宋" w:cs="仿宋"/>
          <w:sz w:val="32"/>
          <w:szCs w:val="32"/>
        </w:rPr>
        <w:t>人，不起诉</w:t>
      </w:r>
      <w:r>
        <w:rPr>
          <w:rFonts w:ascii="仿宋" w:hAnsi="仿宋" w:eastAsia="仿宋" w:cs="仿宋"/>
          <w:sz w:val="32"/>
          <w:szCs w:val="32"/>
        </w:rPr>
        <w:t>6</w:t>
      </w:r>
      <w:r>
        <w:rPr>
          <w:rFonts w:hint="eastAsia" w:ascii="仿宋" w:hAnsi="仿宋" w:eastAsia="仿宋" w:cs="仿宋"/>
          <w:sz w:val="32"/>
          <w:szCs w:val="32"/>
        </w:rPr>
        <w:t>人，提出缓刑建议</w:t>
      </w:r>
      <w:r>
        <w:rPr>
          <w:rFonts w:ascii="仿宋" w:hAnsi="仿宋" w:eastAsia="仿宋" w:cs="仿宋"/>
          <w:sz w:val="32"/>
          <w:szCs w:val="32"/>
        </w:rPr>
        <w:t>2</w:t>
      </w:r>
      <w:r>
        <w:rPr>
          <w:rFonts w:hint="eastAsia" w:ascii="仿宋" w:hAnsi="仿宋" w:eastAsia="仿宋" w:cs="仿宋"/>
          <w:sz w:val="32"/>
          <w:szCs w:val="32"/>
        </w:rPr>
        <w:t>人。如办理我市海盟山水豪庭项目高管蔡某等人寻衅滋事案，为确保工程顺利推进，保障数百名购房者权益，根据犯罪事实和情节，对蔡某等3人作出不起诉处理。加强对涉民营企业民事行政法律监督和公益诉讼检察力度，开展“服务六稳六保、护航民企发展”等主题检察开放日活动，同时主动走进企业，倾听民营企业家意见和建议，为民营企业提供法律帮助，督促企业依法依规经营，助力民营经济健康发展。</w:t>
      </w:r>
    </w:p>
    <w:p>
      <w:pPr>
        <w:spacing w:line="540" w:lineRule="exact"/>
        <w:ind w:firstLine="640" w:firstLineChars="200"/>
        <w:rPr>
          <w:rFonts w:ascii="仿宋" w:hAnsi="仿宋" w:eastAsia="仿宋" w:cs="仿宋"/>
          <w:sz w:val="32"/>
          <w:szCs w:val="32"/>
        </w:rPr>
      </w:pPr>
      <w:r>
        <w:rPr>
          <w:rFonts w:hint="eastAsia" w:ascii="楷体" w:hAnsi="楷体" w:eastAsia="楷体" w:cs="楷体"/>
          <w:b/>
          <w:bCs/>
          <w:sz w:val="32"/>
          <w:szCs w:val="32"/>
        </w:rPr>
        <w:t>全力以赴投身疫情防控。</w:t>
      </w:r>
      <w:r>
        <w:rPr>
          <w:rFonts w:hint="eastAsia" w:ascii="仿宋" w:hAnsi="仿宋" w:eastAsia="仿宋" w:cs="仿宋"/>
          <w:sz w:val="32"/>
          <w:szCs w:val="32"/>
        </w:rPr>
        <w:t>坚持防疫与依法履职两不误，依法从严从快办理涉疫情案件9件，涉野生动物保护领域公益诉讼案4件。办理的谢某喜非法狩猎案入选全省检察机关办理涉疫情典型案例。积极推行“非接触”式办案，视频提讯犯罪嫌疑人528人次，采取网上接访的方式做好疫情期间的信访维稳与群众工作。全院干警积极投入疫情防控一线，选派50余名党员干警下沉村(社区)参与网格化疫情联防联控，派出12名志愿者参与今年全市“清楼行动”，筑实战疫防线。</w:t>
      </w:r>
    </w:p>
    <w:p>
      <w:pPr>
        <w:spacing w:line="540" w:lineRule="exact"/>
        <w:ind w:firstLine="640" w:firstLineChars="200"/>
        <w:rPr>
          <w:rFonts w:ascii="仿宋" w:hAnsi="仿宋" w:eastAsia="仿宋" w:cs="仿宋"/>
          <w:sz w:val="32"/>
          <w:szCs w:val="32"/>
        </w:rPr>
      </w:pPr>
      <w:r>
        <w:rPr>
          <w:rFonts w:hint="eastAsia" w:ascii="楷体" w:hAnsi="楷体" w:eastAsia="楷体" w:cs="楷体"/>
          <w:b/>
          <w:bCs/>
          <w:sz w:val="32"/>
          <w:szCs w:val="32"/>
        </w:rPr>
        <w:t>服务保障打好“三大攻坚战”。</w:t>
      </w:r>
      <w:r>
        <w:rPr>
          <w:rFonts w:hint="eastAsia" w:ascii="仿宋" w:hAnsi="仿宋" w:eastAsia="仿宋" w:cs="仿宋"/>
          <w:sz w:val="32"/>
          <w:szCs w:val="32"/>
        </w:rPr>
        <w:t>充分履行检察职能，助力防范化解重大金融风险。起诉非法吸收公众存款、组织、领导传销活动等涉众型犯罪109件131人，积极追赃挽损，最大限度挽回群众“血汗钱”。严厉惩治涉农专项资金领域犯罪，批捕</w:t>
      </w:r>
      <w:r>
        <w:rPr>
          <w:rFonts w:ascii="仿宋" w:hAnsi="仿宋" w:eastAsia="仿宋" w:cs="仿宋"/>
          <w:sz w:val="32"/>
          <w:szCs w:val="32"/>
        </w:rPr>
        <w:t>4</w:t>
      </w:r>
      <w:r>
        <w:rPr>
          <w:rFonts w:hint="eastAsia" w:ascii="仿宋" w:hAnsi="仿宋" w:eastAsia="仿宋" w:cs="仿宋"/>
          <w:sz w:val="32"/>
          <w:szCs w:val="32"/>
        </w:rPr>
        <w:t>件</w:t>
      </w:r>
      <w:r>
        <w:rPr>
          <w:rFonts w:ascii="仿宋" w:hAnsi="仿宋" w:eastAsia="仿宋" w:cs="仿宋"/>
          <w:sz w:val="32"/>
          <w:szCs w:val="32"/>
        </w:rPr>
        <w:t>9</w:t>
      </w:r>
      <w:r>
        <w:rPr>
          <w:rFonts w:hint="eastAsia" w:ascii="仿宋" w:hAnsi="仿宋" w:eastAsia="仿宋" w:cs="仿宋"/>
          <w:sz w:val="32"/>
          <w:szCs w:val="32"/>
        </w:rPr>
        <w:t>人。加大司法救助力度，及时救助因案致贫困难群体，办理案件11件，发放救助金30.3万元。尽心竭力做好驻村帮扶工作，帮扶杨市镇高桥村稳定脱贫，助力湖泉镇关桥村乡村振兴。守护青山净土、碧水蓝天，起诉破坏环境资源犯罪40件</w:t>
      </w:r>
      <w:r>
        <w:rPr>
          <w:rFonts w:ascii="仿宋" w:hAnsi="仿宋" w:eastAsia="仿宋" w:cs="仿宋"/>
          <w:sz w:val="32"/>
          <w:szCs w:val="32"/>
        </w:rPr>
        <w:t>46</w:t>
      </w:r>
      <w:r>
        <w:rPr>
          <w:rFonts w:hint="eastAsia" w:ascii="仿宋" w:hAnsi="仿宋" w:eastAsia="仿宋" w:cs="仿宋"/>
          <w:sz w:val="32"/>
          <w:szCs w:val="32"/>
        </w:rPr>
        <w:t>人，办理了尚某明等3人污染环境案，有效解决当地群众反映强烈的环境污染问题，保护人民生命安全和身体健康。针对涟水河流域非法捕捞问题，立案行政公益诉讼案件42件，督促开展增殖放流活动，投放鱼苗110余万尾。</w:t>
      </w:r>
    </w:p>
    <w:p>
      <w:pPr>
        <w:spacing w:line="540" w:lineRule="exact"/>
        <w:ind w:firstLine="640" w:firstLineChars="200"/>
        <w:rPr>
          <w:rFonts w:ascii="仿宋" w:hAnsi="仿宋" w:eastAsia="仿宋" w:cs="仿宋"/>
          <w:sz w:val="32"/>
          <w:szCs w:val="32"/>
        </w:rPr>
      </w:pPr>
      <w:r>
        <w:rPr>
          <w:rFonts w:hint="eastAsia" w:ascii="楷体" w:hAnsi="楷体" w:eastAsia="楷体" w:cs="楷体"/>
          <w:b/>
          <w:bCs/>
          <w:sz w:val="32"/>
          <w:szCs w:val="32"/>
        </w:rPr>
        <w:t>深入推进扫黑除恶专项斗争。</w:t>
      </w:r>
      <w:r>
        <w:rPr>
          <w:rFonts w:hint="eastAsia" w:ascii="仿宋" w:hAnsi="仿宋" w:eastAsia="仿宋" w:cs="仿宋"/>
          <w:sz w:val="32"/>
          <w:szCs w:val="32"/>
        </w:rPr>
        <w:t>坚持“是黑恶犯罪一个不放过、不是黑恶犯罪一个不凑数”，严格依法办理涉黑涉恶案件，确保每一个案件经得起检验。共批捕黑恶犯罪64件109人，起诉81件130人；追加认定涉黑涉恶案件16件，依法不认定34件。办理了娄底首例利用“软暴力”把控基层政权的吴某等人寻衅滋事案、吴某凤等10人涉恶案、邱某新等4人涉恶案等一批有影响的恶势力犯罪案件，铲除黑恶毒瘤、守护朗朗乾坤、还社会以安宁。同时着眼长效常治，对办案中发现的社会治安监管、娱乐场所管理、执法规范化等问题，制发检察建议</w:t>
      </w:r>
      <w:r>
        <w:rPr>
          <w:rFonts w:ascii="仿宋" w:hAnsi="仿宋" w:eastAsia="仿宋" w:cs="仿宋"/>
          <w:sz w:val="32"/>
          <w:szCs w:val="32"/>
        </w:rPr>
        <w:t>9</w:t>
      </w:r>
      <w:r>
        <w:rPr>
          <w:rFonts w:hint="eastAsia" w:ascii="仿宋" w:hAnsi="仿宋" w:eastAsia="仿宋" w:cs="仿宋"/>
          <w:sz w:val="32"/>
          <w:szCs w:val="32"/>
        </w:rPr>
        <w:t>份，促进社会综合治理。如办理姚某强等6人寻衅滋事案中，对杨市镇定点屠宰场存在拒绝代宰等行为监管不到位情形，向畜牧水产事务中心制发检察建议，督促对屠宰行业予以整治，助推源头治理。</w:t>
      </w:r>
    </w:p>
    <w:p>
      <w:pPr>
        <w:spacing w:line="540" w:lineRule="exact"/>
        <w:ind w:firstLine="640" w:firstLineChars="200"/>
        <w:rPr>
          <w:rStyle w:val="8"/>
          <w:rFonts w:ascii="楷体_GB2312" w:hAnsi="楷体" w:eastAsia="楷体_GB2312" w:cs="楷体"/>
          <w:b w:val="0"/>
          <w:sz w:val="32"/>
          <w:szCs w:val="32"/>
          <w:shd w:val="clear" w:color="auto" w:fill="FFFFFF"/>
        </w:rPr>
      </w:pPr>
      <w:r>
        <w:rPr>
          <w:rStyle w:val="8"/>
          <w:rFonts w:hint="eastAsia" w:ascii="楷体_GB2312" w:hAnsi="楷体" w:eastAsia="楷体_GB2312" w:cs="楷体"/>
          <w:b w:val="0"/>
          <w:sz w:val="32"/>
          <w:szCs w:val="32"/>
          <w:shd w:val="clear" w:color="auto" w:fill="FFFFFF"/>
        </w:rPr>
        <w:t>(二)、坚持执法办案，着力维护社会公平正义</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准确把握检察机关宪法定位，充分履行法律监督职责，努力促进公正司法、严格执法。</w:t>
      </w:r>
    </w:p>
    <w:p>
      <w:pPr>
        <w:spacing w:line="540" w:lineRule="exact"/>
        <w:ind w:firstLine="640" w:firstLineChars="200"/>
        <w:rPr>
          <w:rFonts w:ascii="仿宋" w:hAnsi="仿宋" w:eastAsia="仿宋" w:cs="仿宋"/>
          <w:sz w:val="32"/>
          <w:szCs w:val="32"/>
        </w:rPr>
      </w:pPr>
      <w:r>
        <w:rPr>
          <w:rFonts w:hint="eastAsia" w:ascii="楷体" w:hAnsi="楷体" w:eastAsia="楷体" w:cs="楷体"/>
          <w:b/>
          <w:bCs/>
          <w:sz w:val="32"/>
          <w:szCs w:val="32"/>
        </w:rPr>
        <w:t>刑事检察工作持续加强。</w:t>
      </w:r>
      <w:r>
        <w:rPr>
          <w:rFonts w:hint="eastAsia" w:ascii="仿宋" w:hAnsi="仿宋" w:eastAsia="仿宋" w:cs="仿宋"/>
          <w:sz w:val="32"/>
          <w:szCs w:val="32"/>
        </w:rPr>
        <w:t>共批准和决定逮捕</w:t>
      </w:r>
      <w:r>
        <w:rPr>
          <w:rFonts w:ascii="仿宋" w:hAnsi="仿宋" w:eastAsia="仿宋" w:cs="仿宋"/>
          <w:sz w:val="32"/>
          <w:szCs w:val="32"/>
        </w:rPr>
        <w:t>2853</w:t>
      </w:r>
      <w:r>
        <w:rPr>
          <w:rFonts w:hint="eastAsia" w:ascii="仿宋" w:hAnsi="仿宋" w:eastAsia="仿宋" w:cs="仿宋"/>
          <w:sz w:val="32"/>
          <w:szCs w:val="32"/>
        </w:rPr>
        <w:t>人，起诉</w:t>
      </w:r>
      <w:r>
        <w:rPr>
          <w:rFonts w:ascii="仿宋" w:hAnsi="仿宋" w:eastAsia="仿宋" w:cs="仿宋"/>
          <w:sz w:val="32"/>
          <w:szCs w:val="32"/>
        </w:rPr>
        <w:t>4084</w:t>
      </w:r>
      <w:r>
        <w:rPr>
          <w:rFonts w:hint="eastAsia" w:ascii="仿宋" w:hAnsi="仿宋" w:eastAsia="仿宋" w:cs="仿宋"/>
          <w:sz w:val="32"/>
          <w:szCs w:val="32"/>
        </w:rPr>
        <w:t>人，其中打击毒品犯罪686人，地下六合彩78人，交通肇事、危险驾驶587人，办理了</w:t>
      </w:r>
      <w:r>
        <w:rPr>
          <w:rFonts w:hint="eastAsia" w:ascii="仿宋_GB2312" w:hAnsi="宋体" w:eastAsia="仿宋_GB2312" w:cs="仿宋_GB2312"/>
          <w:sz w:val="32"/>
          <w:szCs w:val="32"/>
        </w:rPr>
        <w:t>高检院、公安部挂牌督办的“</w:t>
      </w:r>
      <w:r>
        <w:rPr>
          <w:rFonts w:ascii="仿宋_GB2312" w:hAnsi="宋体" w:eastAsia="仿宋_GB2312" w:cs="仿宋_GB2312"/>
          <w:sz w:val="32"/>
          <w:szCs w:val="32"/>
        </w:rPr>
        <w:t>7.11</w:t>
      </w:r>
      <w:r>
        <w:rPr>
          <w:rFonts w:hint="eastAsia" w:ascii="仿宋_GB2312" w:hAnsi="宋体" w:eastAsia="仿宋_GB2312" w:cs="仿宋_GB2312"/>
          <w:sz w:val="32"/>
          <w:szCs w:val="32"/>
        </w:rPr>
        <w:t>”特大电信诈骗案，公安部督办的“4.02”特大电信诈骗案，“4.25”谭某平等21人涉嫌非法拘禁、寻衅滋事、打击报复证人案等一批重大案件。</w:t>
      </w:r>
      <w:r>
        <w:rPr>
          <w:rFonts w:hint="eastAsia" w:ascii="仿宋" w:hAnsi="仿宋" w:eastAsia="仿宋" w:cs="仿宋"/>
          <w:sz w:val="32"/>
          <w:szCs w:val="32"/>
        </w:rPr>
        <w:t>五年来，全市故意杀人、寻衅滋事、抢劫、强奸、绑架等严重暴力犯罪下降50%，社会治安持续向好。督促侦查机关立案30件、撤案108件，纠正漏捕、漏诉55人，纠正侦查活动违法153件次，提出抗诉10件。加强刑罚执行监督，防止“纸面服刑”“提钱出狱”，纠正减刑、假释、暂予监外执行不当以及社区矫正脱管漏管</w:t>
      </w:r>
      <w:r>
        <w:rPr>
          <w:rFonts w:ascii="仿宋" w:hAnsi="仿宋" w:eastAsia="仿宋" w:cs="仿宋"/>
          <w:sz w:val="32"/>
          <w:szCs w:val="32"/>
        </w:rPr>
        <w:t>76</w:t>
      </w:r>
      <w:r>
        <w:rPr>
          <w:rFonts w:hint="eastAsia" w:ascii="仿宋" w:hAnsi="仿宋" w:eastAsia="仿宋" w:cs="仿宋"/>
          <w:sz w:val="32"/>
          <w:szCs w:val="32"/>
        </w:rPr>
        <w:t>人。</w:t>
      </w:r>
    </w:p>
    <w:p>
      <w:pPr>
        <w:spacing w:line="540" w:lineRule="exact"/>
        <w:ind w:firstLine="640" w:firstLineChars="200"/>
        <w:rPr>
          <w:rFonts w:ascii="仿宋" w:hAnsi="仿宋" w:eastAsia="仿宋" w:cs="仿宋"/>
          <w:sz w:val="32"/>
          <w:szCs w:val="32"/>
        </w:rPr>
      </w:pPr>
      <w:r>
        <w:rPr>
          <w:rFonts w:hint="eastAsia" w:ascii="楷体" w:hAnsi="楷体" w:eastAsia="楷体" w:cs="楷体"/>
          <w:b/>
          <w:bCs/>
          <w:sz w:val="32"/>
          <w:szCs w:val="32"/>
        </w:rPr>
        <w:t>民事行政检察工作稳步发展。</w:t>
      </w:r>
      <w:r>
        <w:rPr>
          <w:rFonts w:hint="eastAsia" w:ascii="仿宋" w:hAnsi="仿宋" w:eastAsia="仿宋" w:cs="仿宋"/>
          <w:sz w:val="32"/>
          <w:szCs w:val="32"/>
        </w:rPr>
        <w:t>共办理民事、行政检察监督案件275件，五年增幅达99.02%，对民事、行政审判和执行活动发出检察建议104份，对认为确有错误的民事行政生效裁判、调解书，提请抗诉12件。督促行政机关依法履职，提出检察建议48件，发出社会治理类检察建议13份。如针对群众反映强烈的未成年人上网问题，向市教育局、市文旅广体局等多个单位制发检察建议，规范对网吧的监管，净化上网环境。维护弱势群体合法权益，支持农民工依法起诉，共办理支持起诉案件55余件，帮助追索劳动报酬150余万元，全力化解劳动纠纷。深入推进行政争议实质性化解专项活动，共化解行政争议13件，取得案结事了政和的良好效果。</w:t>
      </w:r>
    </w:p>
    <w:p>
      <w:pPr>
        <w:spacing w:line="540" w:lineRule="exact"/>
        <w:ind w:firstLine="640" w:firstLineChars="200"/>
        <w:rPr>
          <w:rFonts w:ascii="仿宋" w:hAnsi="仿宋" w:eastAsia="仿宋" w:cs="仿宋"/>
          <w:sz w:val="32"/>
          <w:szCs w:val="32"/>
        </w:rPr>
      </w:pPr>
      <w:r>
        <w:rPr>
          <w:rFonts w:hint="eastAsia" w:ascii="楷体" w:hAnsi="楷体" w:eastAsia="楷体" w:cs="楷体"/>
          <w:b/>
          <w:bCs/>
          <w:sz w:val="32"/>
          <w:szCs w:val="32"/>
        </w:rPr>
        <w:t>公益诉讼检察工作全面推开。</w:t>
      </w:r>
      <w:r>
        <w:rPr>
          <w:rFonts w:hint="eastAsia" w:ascii="仿宋" w:hAnsi="仿宋" w:eastAsia="仿宋" w:cs="仿宋"/>
          <w:sz w:val="32"/>
          <w:szCs w:val="32"/>
        </w:rPr>
        <w:t>在市委政府大力支持下，将公益诉讼检察建议纳入平安建设、法治政府建设考核。扎实办好生态环境和资源保护、食品药品安全、国有财产保护、国有土地使用权出让、英烈保护、安全生产、未成年人保护等领域公益诉讼案件。共立案办理民事、行政公益诉讼案件414件，发出诉前检察建议397份。如针对石某等9人在白马水库水域内非法使用船舶钓鱼的违法行为向市农业农村局等4个单位发出诉前检察建议，督促严格依法履职，全面取缔涉渔“三无”船舶。通过办案，帮助追回国有土地出让金70余万元，督促清理违法堆放生活垃圾500余吨，拆除违建或违法搭建物、放置物220处，保护饮用水源地3处，整改违规企业11家，督促复绿或帮助收回被非法占用土地280余亩。</w:t>
      </w:r>
    </w:p>
    <w:p>
      <w:pPr>
        <w:spacing w:line="540" w:lineRule="exact"/>
        <w:ind w:firstLine="640" w:firstLineChars="200"/>
        <w:rPr>
          <w:rFonts w:ascii="仿宋" w:hAnsi="仿宋" w:eastAsia="仿宋" w:cs="仿宋"/>
          <w:sz w:val="32"/>
          <w:szCs w:val="32"/>
        </w:rPr>
      </w:pPr>
      <w:r>
        <w:rPr>
          <w:rFonts w:hint="eastAsia" w:ascii="楷体" w:hAnsi="楷体" w:eastAsia="楷体" w:cs="楷体"/>
          <w:b/>
          <w:bCs/>
          <w:sz w:val="32"/>
          <w:szCs w:val="32"/>
        </w:rPr>
        <w:t>职务犯罪检察工作扎实推进。</w:t>
      </w:r>
      <w:r>
        <w:rPr>
          <w:rFonts w:hint="eastAsia" w:ascii="仿宋" w:hAnsi="仿宋" w:eastAsia="仿宋" w:cs="仿宋"/>
          <w:sz w:val="32"/>
          <w:szCs w:val="32"/>
        </w:rPr>
        <w:t>坚决支持国家监察体制改革，顺利完成反贪反渎预防机构、职能、人员转隶。改革后，受理监察机关移送职务犯罪19人，目前已提起公诉14人。办理的肖某辉徇私枉法案系娄底市首例司法人员职务犯罪案件。依法办理了斗笠山镇棚改办副主任兼出纳曾某彬挪用公款案、娄底市公安局看守所民警李某贵受贿案，助推反腐倡廉。</w:t>
      </w:r>
    </w:p>
    <w:p>
      <w:pPr>
        <w:spacing w:line="540" w:lineRule="exact"/>
        <w:ind w:firstLine="640" w:firstLineChars="200"/>
        <w:rPr>
          <w:rStyle w:val="8"/>
          <w:rFonts w:ascii="楷体_GB2312" w:hAnsi="楷体" w:eastAsia="楷体_GB2312" w:cs="楷体"/>
          <w:b w:val="0"/>
          <w:sz w:val="32"/>
          <w:szCs w:val="32"/>
          <w:shd w:val="clear" w:color="auto" w:fill="FFFFFF"/>
        </w:rPr>
      </w:pPr>
      <w:r>
        <w:rPr>
          <w:rStyle w:val="8"/>
          <w:rFonts w:hint="eastAsia" w:ascii="楷体_GB2312" w:hAnsi="楷体" w:eastAsia="楷体_GB2312" w:cs="楷体"/>
          <w:b w:val="0"/>
          <w:sz w:val="32"/>
          <w:szCs w:val="32"/>
          <w:shd w:val="clear" w:color="auto" w:fill="FFFFFF"/>
        </w:rPr>
        <w:t>（三）、坚持司法为民，提升群众安全感满意度</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牢固树立以人民为中心的理念，始终把老百姓的安危冷暖放在心上，努力解决好群众的操心事、烦心事、揪心事。</w:t>
      </w:r>
    </w:p>
    <w:p>
      <w:pPr>
        <w:spacing w:line="540" w:lineRule="exact"/>
        <w:ind w:firstLine="640" w:firstLineChars="200"/>
        <w:rPr>
          <w:rFonts w:ascii="仿宋" w:hAnsi="仿宋" w:eastAsia="仿宋" w:cs="仿宋"/>
          <w:sz w:val="32"/>
          <w:szCs w:val="32"/>
        </w:rPr>
      </w:pPr>
      <w:r>
        <w:rPr>
          <w:rFonts w:hint="eastAsia" w:ascii="楷体" w:hAnsi="楷体" w:eastAsia="楷体" w:cs="楷体"/>
          <w:b/>
          <w:bCs/>
          <w:sz w:val="32"/>
          <w:szCs w:val="32"/>
        </w:rPr>
        <w:t>全力维护老百姓“舌尖上”安全。</w:t>
      </w:r>
      <w:r>
        <w:rPr>
          <w:rFonts w:hint="eastAsia" w:ascii="仿宋" w:hAnsi="仿宋" w:eastAsia="仿宋" w:cs="仿宋"/>
          <w:sz w:val="32"/>
          <w:szCs w:val="32"/>
        </w:rPr>
        <w:t>依法严惩危害食品药品安全犯罪，起诉9人，办理食品药品安全领域公益诉讼案件71件。开展“校园及周边食品安全”“农贸市场安全整治”和“饮用水安全”专项监督，会同相关部门对全市20所学校食堂、3家农贸市场以及4家水厂进行实地检查，及时消除隐患，让人民群众用餐用药更安心。办理了社会广泛关注的梁某峰生产销售有毒、有害食品案，该案系娄底市首例提出“从业禁止”的公益诉讼案件，被省市多家媒体报道，取得了办理一案、惠及一方、警示一片的社会效果。</w:t>
      </w:r>
    </w:p>
    <w:p>
      <w:pPr>
        <w:spacing w:line="540" w:lineRule="exact"/>
        <w:ind w:firstLine="640" w:firstLineChars="200"/>
        <w:rPr>
          <w:rFonts w:ascii="仿宋" w:hAnsi="仿宋" w:eastAsia="仿宋" w:cs="仿宋"/>
          <w:sz w:val="32"/>
          <w:szCs w:val="32"/>
        </w:rPr>
      </w:pPr>
      <w:r>
        <w:rPr>
          <w:rFonts w:hint="eastAsia" w:ascii="楷体" w:hAnsi="楷体" w:eastAsia="楷体" w:cs="楷体"/>
          <w:b/>
          <w:bCs/>
          <w:sz w:val="32"/>
          <w:szCs w:val="32"/>
        </w:rPr>
        <w:t>着力维护老百姓“脚底下”安全。</w:t>
      </w:r>
      <w:r>
        <w:rPr>
          <w:rFonts w:hint="eastAsia" w:ascii="仿宋" w:hAnsi="仿宋" w:eastAsia="仿宋" w:cs="仿宋"/>
          <w:sz w:val="32"/>
          <w:szCs w:val="32"/>
        </w:rPr>
        <w:t>严格贯彻落实高检院“四号检察建议”，开展全市窨井盖管理和无障碍出行设施专项监督，对火车站、银行、商业区等重点场所以及全市20余个路段进行全面摸排，对发现的窨井盖、无障碍出行设施建设管理不规范等问题，向城管局制发检察建议，督促提升管理水平，让市民出行更放心。</w:t>
      </w:r>
    </w:p>
    <w:p>
      <w:pPr>
        <w:spacing w:line="540" w:lineRule="exact"/>
        <w:ind w:firstLine="640" w:firstLineChars="200"/>
        <w:rPr>
          <w:rFonts w:ascii="仿宋" w:hAnsi="仿宋" w:eastAsia="仿宋" w:cs="仿宋"/>
          <w:sz w:val="32"/>
          <w:szCs w:val="32"/>
        </w:rPr>
      </w:pPr>
      <w:r>
        <w:rPr>
          <w:rFonts w:hint="eastAsia" w:ascii="楷体" w:hAnsi="楷体" w:eastAsia="楷体" w:cs="楷体"/>
          <w:b/>
          <w:bCs/>
          <w:sz w:val="32"/>
          <w:szCs w:val="32"/>
        </w:rPr>
        <w:t>强力维护老百姓“钱袋子”安全。</w:t>
      </w:r>
      <w:r>
        <w:rPr>
          <w:rFonts w:hint="eastAsia" w:ascii="仿宋" w:hAnsi="仿宋" w:eastAsia="仿宋" w:cs="仿宋"/>
          <w:sz w:val="32"/>
          <w:szCs w:val="32"/>
        </w:rPr>
        <w:t>依法打击盗窃、诈骗、网络赌博等多发性侵财犯罪，批捕734人，起诉940人。积极参与 “断卡”行动和打击治理电信网络新型违法犯罪专项行动，斩断电信网络诈骗犯罪链条，起诉426人，办理了“人人国际”颜某等38人电信网络诈骗案等重大案件。对重大疑难复杂涉众型经济犯罪均提前介入，引导侦查机关全面收集、固定证据，发挥审前主导作用，全力打击涉众型经济犯罪，切实维护人民群众财产安全。</w:t>
      </w:r>
    </w:p>
    <w:p>
      <w:pPr>
        <w:spacing w:line="540" w:lineRule="exact"/>
        <w:ind w:firstLine="640" w:firstLineChars="200"/>
        <w:rPr>
          <w:rStyle w:val="8"/>
          <w:rFonts w:ascii="楷体_GB2312" w:hAnsi="楷体" w:eastAsia="楷体_GB2312" w:cs="楷体"/>
          <w:b w:val="0"/>
          <w:sz w:val="32"/>
          <w:szCs w:val="32"/>
          <w:shd w:val="clear" w:color="auto" w:fill="FFFFFF"/>
        </w:rPr>
      </w:pPr>
      <w:r>
        <w:rPr>
          <w:rStyle w:val="8"/>
          <w:rFonts w:hint="eastAsia" w:ascii="楷体_GB2312" w:hAnsi="楷体" w:eastAsia="楷体_GB2312" w:cs="楷体"/>
          <w:b w:val="0"/>
          <w:sz w:val="32"/>
          <w:szCs w:val="32"/>
          <w:shd w:val="clear" w:color="auto" w:fill="FFFFFF"/>
        </w:rPr>
        <w:t>（四）、坚持人权保障，不断深化司法文明建设</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促进司法人文关怀，彰显检察工作温度，以司法文明引领社会文明。</w:t>
      </w:r>
    </w:p>
    <w:p>
      <w:pPr>
        <w:spacing w:line="540" w:lineRule="exact"/>
        <w:ind w:firstLine="640" w:firstLineChars="200"/>
        <w:rPr>
          <w:rFonts w:ascii="仿宋" w:hAnsi="仿宋" w:eastAsia="仿宋" w:cs="仿宋"/>
          <w:color w:val="0000FF"/>
          <w:sz w:val="32"/>
          <w:szCs w:val="32"/>
          <w:u w:val="single"/>
        </w:rPr>
      </w:pPr>
      <w:r>
        <w:rPr>
          <w:rFonts w:hint="eastAsia" w:ascii="楷体" w:hAnsi="楷体" w:eastAsia="楷体" w:cs="楷体"/>
          <w:b/>
          <w:bCs/>
          <w:sz w:val="32"/>
          <w:szCs w:val="32"/>
        </w:rPr>
        <w:t>落实少捕慎诉慎押政策。</w:t>
      </w:r>
      <w:r>
        <w:rPr>
          <w:rFonts w:hint="eastAsia" w:ascii="仿宋" w:hAnsi="仿宋" w:eastAsia="仿宋" w:cs="仿宋"/>
          <w:sz w:val="32"/>
          <w:szCs w:val="32"/>
        </w:rPr>
        <w:t>坚持打击犯罪与保障人权并重，坚决防范冤假错案，对不构成犯罪或证据存疑的，决定不捕437人、不诉98人。牢固树立谦抑、审慎、善意理念，积极推动降低审前羁押率，对情节轻微的，不捕161人、不诉337人；加大羁押必要性审查力度，建议改变强制措施42人。如办理的陈某红故意伤害案，考虑该案系邻里纠纷，犯罪情节轻微，且取得被害人谅解，遂改变其强制措施，作出取保候审决定，帮助修复邻里关系，减少社会矛盾。</w:t>
      </w:r>
    </w:p>
    <w:p>
      <w:pPr>
        <w:spacing w:line="540" w:lineRule="exact"/>
        <w:ind w:firstLine="640" w:firstLineChars="200"/>
        <w:rPr>
          <w:rFonts w:ascii="仿宋" w:hAnsi="仿宋" w:eastAsia="仿宋" w:cs="仿宋"/>
          <w:sz w:val="32"/>
          <w:szCs w:val="32"/>
        </w:rPr>
      </w:pPr>
      <w:r>
        <w:rPr>
          <w:rFonts w:hint="eastAsia" w:ascii="楷体" w:hAnsi="楷体" w:eastAsia="楷体" w:cs="楷体"/>
          <w:b/>
          <w:bCs/>
          <w:sz w:val="32"/>
          <w:szCs w:val="32"/>
        </w:rPr>
        <w:t>注重弱势群体权益保护。</w:t>
      </w:r>
      <w:r>
        <w:rPr>
          <w:rFonts w:hint="eastAsia" w:ascii="仿宋" w:hAnsi="仿宋" w:eastAsia="仿宋" w:cs="仿宋"/>
          <w:sz w:val="32"/>
          <w:szCs w:val="32"/>
        </w:rPr>
        <w:t>依法严惩侵害未成年人、残疾人、老年人和农民工合法权益犯罪，批捕猥亵儿童、拒不支付劳动报酬等犯罪嫌疑人46人。建立未成年人“一站式”办案场所，对涉罪未成年人和未成年被害人采取调查取证、心理疏导、法律援助、司法救助一站通办模式，避免“二次伤害”。坚持包容但不纵容，对涉嫌严重犯罪的未成年人起诉52人；对误入歧途的“熊孩子”不起诉29人，加强对罪错未成年人推行分级干预制度，助力成长回归。如办理的张某麒、张某麟两人寻衅滋事案，考虑两人系在校未成年学生且有悔罪表现，依法附条件不起诉，经帮教，两人表现持续向好，后均考上理想大学。以检察官法治副校长包校督导、法治进校园巡回宣讲等方式开展普法宣传80余次，为孩子们扣好人生第一粒扣子。</w:t>
      </w:r>
    </w:p>
    <w:p>
      <w:pPr>
        <w:spacing w:line="540" w:lineRule="exact"/>
        <w:ind w:firstLine="640" w:firstLineChars="200"/>
        <w:rPr>
          <w:rFonts w:ascii="仿宋" w:hAnsi="仿宋" w:eastAsia="仿宋" w:cs="仿宋"/>
          <w:sz w:val="32"/>
          <w:szCs w:val="32"/>
        </w:rPr>
      </w:pPr>
      <w:r>
        <w:rPr>
          <w:rFonts w:hint="eastAsia" w:ascii="楷体" w:hAnsi="楷体" w:eastAsia="楷体" w:cs="楷体"/>
          <w:b/>
          <w:bCs/>
          <w:sz w:val="32"/>
          <w:szCs w:val="32"/>
        </w:rPr>
        <w:t>不断优化司法便民服务。</w:t>
      </w:r>
      <w:r>
        <w:rPr>
          <w:rFonts w:hint="eastAsia" w:ascii="仿宋" w:hAnsi="仿宋" w:eastAsia="仿宋" w:cs="仿宋"/>
          <w:sz w:val="32"/>
          <w:szCs w:val="32"/>
        </w:rPr>
        <w:t>落实谁执法谁普法，开展法治进校园、进乡村、进社区、进单位等活动，引导全社会增强法治观念。全面推进12309检察服务中心建设，对170件来信、338件来访、13件网络信访案件均做到7日内回复程序性信息，3个月内回复办理过程或结果。积极开展信访积案清理专项行动，检察长一线接访242件273人，院领导包案化解了高检院督办的10件重复信访案件。如办理的傅某良等3人信访案，及时查明信访原由，督促公安机关恢复相关当事人户籍信息，引导当事人申请司法救助，维护了信访当事人合法权益。针对户籍管理中存在的问题，向公安机关制发检察建议，督促规范辖区居民户籍管理，取得良好的效果。</w:t>
      </w:r>
    </w:p>
    <w:p>
      <w:pPr>
        <w:spacing w:line="540" w:lineRule="exact"/>
        <w:ind w:firstLine="640" w:firstLineChars="200"/>
        <w:rPr>
          <w:rStyle w:val="8"/>
          <w:rFonts w:ascii="楷体_GB2312" w:hAnsi="楷体" w:eastAsia="楷体_GB2312" w:cs="楷体"/>
          <w:b w:val="0"/>
          <w:sz w:val="32"/>
          <w:szCs w:val="32"/>
          <w:shd w:val="clear" w:color="auto" w:fill="FFFFFF"/>
        </w:rPr>
      </w:pPr>
      <w:r>
        <w:rPr>
          <w:rStyle w:val="8"/>
          <w:rFonts w:hint="eastAsia" w:ascii="楷体_GB2312" w:hAnsi="楷体" w:eastAsia="楷体_GB2312" w:cs="楷体"/>
          <w:b w:val="0"/>
          <w:sz w:val="32"/>
          <w:szCs w:val="32"/>
          <w:shd w:val="clear" w:color="auto" w:fill="FFFFFF"/>
        </w:rPr>
        <w:t>（五）、坚持深化改革，推进检察工作创新发展</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把改革创新作为检察工作发展的强大动力，构建检察工作新格局。</w:t>
      </w:r>
    </w:p>
    <w:p>
      <w:pPr>
        <w:spacing w:line="540" w:lineRule="exact"/>
        <w:ind w:firstLine="640" w:firstLineChars="200"/>
        <w:rPr>
          <w:rFonts w:ascii="仿宋" w:hAnsi="仿宋" w:eastAsia="仿宋" w:cs="仿宋"/>
          <w:sz w:val="32"/>
          <w:szCs w:val="32"/>
        </w:rPr>
      </w:pPr>
      <w:r>
        <w:rPr>
          <w:rFonts w:hint="eastAsia" w:ascii="楷体" w:hAnsi="楷体" w:eastAsia="楷体" w:cs="楷体"/>
          <w:b/>
          <w:bCs/>
          <w:sz w:val="32"/>
          <w:szCs w:val="32"/>
        </w:rPr>
        <w:t>全面实行省以下检察院人财物统管。</w:t>
      </w:r>
      <w:r>
        <w:rPr>
          <w:rFonts w:hint="eastAsia" w:ascii="仿宋" w:hAnsi="仿宋" w:eastAsia="仿宋" w:cs="仿宋"/>
          <w:sz w:val="32"/>
          <w:szCs w:val="32"/>
        </w:rPr>
        <w:t>实行检察官统一由省提名、管理并按法定程序任免，省以下地方检察院经费由省级政府财政部门管理机制，实现人财物省级统管，有效减少外部干扰、提高司法公信力，确保检察机关依法独立行使检察权。统管后，干部队伍管理更加有序，财务管理更加规范、检务保障更加有力，办案质效明显提升。</w:t>
      </w:r>
    </w:p>
    <w:p>
      <w:pPr>
        <w:spacing w:line="540" w:lineRule="exact"/>
        <w:ind w:firstLine="640" w:firstLineChars="200"/>
        <w:rPr>
          <w:rFonts w:ascii="楷体" w:hAnsi="楷体" w:eastAsia="楷体" w:cs="楷体"/>
          <w:b/>
          <w:bCs/>
          <w:sz w:val="32"/>
          <w:szCs w:val="32"/>
        </w:rPr>
      </w:pPr>
      <w:r>
        <w:rPr>
          <w:rFonts w:hint="eastAsia" w:ascii="楷体" w:hAnsi="楷体" w:eastAsia="楷体" w:cs="楷体"/>
          <w:b/>
          <w:bCs/>
          <w:sz w:val="32"/>
          <w:szCs w:val="32"/>
        </w:rPr>
        <w:t>持续深化司法体制综合配套改革。</w:t>
      </w:r>
      <w:r>
        <w:rPr>
          <w:rFonts w:hint="eastAsia" w:ascii="仿宋" w:hAnsi="仿宋" w:eastAsia="仿宋" w:cs="仿宋"/>
          <w:sz w:val="32"/>
          <w:szCs w:val="32"/>
        </w:rPr>
        <w:t>全面落实“谁办案谁负责、谁决定谁负责”的司法责任制，制定完善权力清单，健全员额遴选及退出动态管理、业绩考评、责任追究等机制，入额院领导带头办理案件456件。完成内设机构改革任务，依据业务性质规范设置8个内设机构，机构整体精简38％，按照案件类型重构刑事检察部门，实行“捕诉一体”办案机制，分设民事行政、公益诉讼检察，构建与“四大检察”工作格局相适应的检察职能体系。</w:t>
      </w:r>
    </w:p>
    <w:p>
      <w:pPr>
        <w:spacing w:line="540" w:lineRule="exact"/>
        <w:ind w:firstLine="640" w:firstLineChars="200"/>
        <w:rPr>
          <w:rFonts w:ascii="仿宋" w:hAnsi="仿宋" w:eastAsia="仿宋" w:cs="仿宋"/>
          <w:sz w:val="32"/>
          <w:szCs w:val="32"/>
        </w:rPr>
      </w:pPr>
      <w:r>
        <w:rPr>
          <w:rFonts w:hint="eastAsia" w:ascii="楷体" w:hAnsi="楷体" w:eastAsia="楷体" w:cs="楷体"/>
          <w:b/>
          <w:bCs/>
          <w:sz w:val="32"/>
          <w:szCs w:val="32"/>
        </w:rPr>
        <w:t>深入落实认罪认罚从宽制度。</w:t>
      </w:r>
      <w:r>
        <w:rPr>
          <w:rFonts w:hint="eastAsia" w:ascii="仿宋" w:hAnsi="仿宋" w:eastAsia="仿宋" w:cs="仿宋"/>
          <w:sz w:val="32"/>
          <w:szCs w:val="32"/>
        </w:rPr>
        <w:t>全面贯彻宽严相济刑事政策，充分发挥检察官在刑事诉讼中的主导作用，做到该用尽用、规范适用，促进被告人认罪悔罪。办理的公诉案件中，适用认罪认罚从宽制度1077件1385人，适用率为85.2%，提出量刑建议923人，人民法院采纳873人，采纳率为94.58%，大大提升司法效能，减少社会对立，实现政治效果、社会效果、法律效果有机统一。</w:t>
      </w:r>
    </w:p>
    <w:p>
      <w:pPr>
        <w:spacing w:line="540" w:lineRule="exact"/>
        <w:ind w:firstLine="640" w:firstLineChars="200"/>
        <w:rPr>
          <w:rStyle w:val="8"/>
          <w:rFonts w:ascii="楷体_GB2312" w:hAnsi="楷体" w:eastAsia="楷体_GB2312" w:cs="楷体"/>
          <w:b w:val="0"/>
          <w:sz w:val="32"/>
          <w:szCs w:val="32"/>
          <w:shd w:val="clear" w:color="auto" w:fill="FFFFFF"/>
        </w:rPr>
      </w:pPr>
      <w:r>
        <w:rPr>
          <w:rStyle w:val="8"/>
          <w:rFonts w:hint="eastAsia" w:ascii="楷体_GB2312" w:hAnsi="楷体" w:eastAsia="楷体_GB2312" w:cs="楷体"/>
          <w:b w:val="0"/>
          <w:sz w:val="32"/>
          <w:szCs w:val="32"/>
          <w:shd w:val="clear" w:color="auto" w:fill="FFFFFF"/>
        </w:rPr>
        <w:t>（六）、坚持固本强基，推动检察工作行稳致远</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坚持政治建检、从严治检、文化育检，主动接受外部监督，不断筑牢检察工作发展根基。五年来，6个集体荣获省部级以上荣誉，10人次被评为全国、全省检察业务“标兵”“能手”，涌现出“全国检察机关案件管理业务能手”“全省公益诉讼检察业务办案能手”“全省检察机关首届控告申诉业务能手”等先进典型。</w:t>
      </w:r>
    </w:p>
    <w:p>
      <w:pPr>
        <w:spacing w:line="540" w:lineRule="exact"/>
        <w:ind w:firstLine="640" w:firstLineChars="200"/>
        <w:rPr>
          <w:rFonts w:ascii="仿宋" w:hAnsi="仿宋" w:eastAsia="仿宋" w:cs="仿宋"/>
          <w:sz w:val="32"/>
          <w:szCs w:val="32"/>
        </w:rPr>
      </w:pPr>
      <w:r>
        <w:rPr>
          <w:rFonts w:hint="eastAsia" w:ascii="楷体" w:hAnsi="楷体" w:eastAsia="楷体" w:cs="楷体"/>
          <w:b/>
          <w:bCs/>
          <w:sz w:val="32"/>
          <w:szCs w:val="32"/>
        </w:rPr>
        <w:t>切实强化政治建设。</w:t>
      </w:r>
      <w:r>
        <w:rPr>
          <w:rFonts w:hint="eastAsia" w:ascii="仿宋" w:hAnsi="仿宋" w:eastAsia="仿宋" w:cs="仿宋"/>
          <w:sz w:val="32"/>
          <w:szCs w:val="32"/>
        </w:rPr>
        <w:t>始终坚持党对检察工作的绝对领导，增强“四个意识”，坚定“四个自信”，做到“两个维护”，深入推进“两学一做”“不忘初心、牢记使命”等主题教育，扎实开展党史学习教育和政法队伍教育整顿，筑牢检察队伍思想根基，顽瘴痼疾得到根本整治，队伍面貌焕然一新。落实重大事项请示报告制度，共向市委、市委政法委请示报告重大事项32次，确保检察工作正确方向。</w:t>
      </w:r>
    </w:p>
    <w:p>
      <w:pPr>
        <w:spacing w:line="540" w:lineRule="exact"/>
        <w:ind w:firstLine="640" w:firstLineChars="200"/>
        <w:rPr>
          <w:rFonts w:ascii="仿宋" w:hAnsi="仿宋" w:eastAsia="仿宋" w:cs="仿宋"/>
          <w:sz w:val="32"/>
          <w:szCs w:val="32"/>
        </w:rPr>
      </w:pPr>
      <w:r>
        <w:rPr>
          <w:rFonts w:hint="eastAsia" w:ascii="楷体" w:hAnsi="楷体" w:eastAsia="楷体" w:cs="楷体"/>
          <w:b/>
          <w:bCs/>
          <w:sz w:val="32"/>
          <w:szCs w:val="32"/>
        </w:rPr>
        <w:t>持之以恒正风肃纪。</w:t>
      </w:r>
      <w:r>
        <w:rPr>
          <w:rFonts w:hint="eastAsia" w:ascii="仿宋" w:hAnsi="仿宋" w:eastAsia="仿宋" w:cs="仿宋"/>
          <w:sz w:val="32"/>
          <w:szCs w:val="32"/>
        </w:rPr>
        <w:t>深入推进党风廉政和纪律作风建设，认真落实防止干预司法办案的“三个规定”，上报重大事项记录报告63份，出台纠正“四风”长效机制实施意见和八小时外监督管理制度，以“零容忍”的态度对违法违纪人员给予党纪、政务处分18人。</w:t>
      </w:r>
    </w:p>
    <w:p>
      <w:pPr>
        <w:spacing w:line="540" w:lineRule="exact"/>
        <w:ind w:firstLine="640" w:firstLineChars="200"/>
        <w:rPr>
          <w:rFonts w:ascii="仿宋" w:hAnsi="仿宋" w:eastAsia="仿宋" w:cs="仿宋"/>
          <w:sz w:val="32"/>
          <w:szCs w:val="32"/>
        </w:rPr>
      </w:pPr>
      <w:r>
        <w:rPr>
          <w:rFonts w:hint="eastAsia" w:ascii="楷体" w:hAnsi="楷体" w:eastAsia="楷体" w:cs="楷体"/>
          <w:b/>
          <w:bCs/>
          <w:sz w:val="32"/>
          <w:szCs w:val="32"/>
        </w:rPr>
        <w:t>全力提升队伍素能。</w:t>
      </w:r>
      <w:r>
        <w:rPr>
          <w:rFonts w:hint="eastAsia" w:ascii="仿宋" w:hAnsi="仿宋" w:eastAsia="仿宋" w:cs="仿宋"/>
          <w:sz w:val="32"/>
          <w:szCs w:val="32"/>
        </w:rPr>
        <w:t>以文化建设助推干警素能提升，深入开展学习型机关建设和学习型干部培养工作，立足内部挖潜，优化人力资源配置，“两型”建设得到省检察院发文推介。深入推进业务骨干与青年干警结对定向传帮带的“二帮一”导师实训制度，得到高检院、省院肯定，经验做法入选全国检察机关教育培训创新100例。建立核心业务数据月通报、季会商制度，以办案数据倒逼业务素能提升。创办“检察业务大讲堂”“检察沙龙”等交流平台，立足于培养提笔能写、开口能讲、交案能办的综合型、复合型检察人才。</w:t>
      </w:r>
    </w:p>
    <w:p>
      <w:pPr>
        <w:autoSpaceDE w:val="0"/>
        <w:autoSpaceDN w:val="0"/>
        <w:adjustRightInd w:val="0"/>
        <w:ind w:firstLine="640" w:firstLineChars="200"/>
        <w:jc w:val="left"/>
        <w:rPr>
          <w:rFonts w:cs="黑体" w:asciiTheme="minorEastAsia" w:hAnsiTheme="minorEastAsia"/>
          <w:color w:val="000000"/>
          <w:kern w:val="0"/>
          <w:sz w:val="32"/>
          <w:szCs w:val="32"/>
        </w:rPr>
      </w:pPr>
      <w:r>
        <w:rPr>
          <w:rFonts w:hint="eastAsia" w:ascii="楷体" w:hAnsi="楷体" w:eastAsia="楷体" w:cs="楷体"/>
          <w:b/>
          <w:bCs/>
          <w:sz w:val="32"/>
          <w:szCs w:val="32"/>
        </w:rPr>
        <w:t>自觉接受外部监督。</w:t>
      </w:r>
      <w:r>
        <w:rPr>
          <w:rFonts w:hint="eastAsia" w:ascii="仿宋" w:hAnsi="仿宋" w:eastAsia="仿宋" w:cs="仿宋"/>
          <w:sz w:val="32"/>
          <w:szCs w:val="32"/>
        </w:rPr>
        <w:t>主动接受人大及其常委会监督、政协民主监督,办理代表、委员提出的建议、提案47件，做到办前联系、办中沟通、办后回访。邀请代表、委员参加检察开放日等活动76人次。构建良性检律关系，制定保障辩护律师执业权利办法，完善约见检察官制度。自觉接受社会监督,组织人民监督员评议案件15件，开展公开听证、公开宣告10场次，让公平正义可感可触。公开案件信息5500余条，发布检察微博微信750余条。</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both"/>
        <w:rPr>
          <w:sz w:val="72"/>
          <w:szCs w:val="72"/>
        </w:rPr>
      </w:pPr>
    </w:p>
    <w:p>
      <w:pPr>
        <w:pStyle w:val="11"/>
        <w:jc w:val="center"/>
        <w:rPr>
          <w:rStyle w:val="8"/>
          <w:rFonts w:ascii="方正小标宋_GBK" w:hAnsi="黑体" w:eastAsia="方正小标宋_GBK"/>
          <w:color w:val="auto"/>
          <w:kern w:val="2"/>
          <w:sz w:val="44"/>
          <w:szCs w:val="44"/>
          <w:shd w:val="clear" w:color="auto" w:fill="FFFFFF"/>
        </w:rPr>
      </w:pPr>
      <w:r>
        <w:rPr>
          <w:rStyle w:val="8"/>
          <w:rFonts w:hint="eastAsia" w:ascii="方正小标宋_GBK" w:hAnsi="黑体" w:eastAsia="方正小标宋_GBK"/>
          <w:color w:val="auto"/>
          <w:kern w:val="2"/>
          <w:sz w:val="44"/>
          <w:szCs w:val="44"/>
          <w:shd w:val="clear" w:color="auto" w:fill="FFFFFF"/>
        </w:rPr>
        <w:t>第四部分 名词解释</w:t>
      </w:r>
    </w:p>
    <w:p>
      <w:pPr>
        <w:widowControl/>
        <w:jc w:val="left"/>
        <w:rPr>
          <w:rFonts w:cs="黑体" w:asciiTheme="minorEastAsia" w:hAnsiTheme="minorEastAsia"/>
          <w:color w:val="000000"/>
          <w:kern w:val="0"/>
          <w:sz w:val="32"/>
          <w:szCs w:val="32"/>
        </w:rPr>
      </w:pPr>
    </w:p>
    <w:p>
      <w:pPr>
        <w:adjustRightInd w:val="0"/>
        <w:snapToGrid w:val="0"/>
        <w:spacing w:line="560" w:lineRule="exact"/>
        <w:ind w:firstLine="640" w:firstLineChars="200"/>
      </w:pPr>
      <w:r>
        <w:rPr>
          <w:rStyle w:val="8"/>
          <w:rFonts w:hint="eastAsia" w:ascii="楷体_GB2312" w:hAnsi="楷体" w:eastAsia="楷体_GB2312" w:cs="楷体"/>
          <w:b w:val="0"/>
          <w:sz w:val="32"/>
          <w:szCs w:val="32"/>
          <w:shd w:val="clear" w:color="auto" w:fill="FFFFFF"/>
        </w:rPr>
        <w:t>一、财政拨款收入</w:t>
      </w:r>
      <w:r>
        <w:rPr>
          <w:rStyle w:val="8"/>
          <w:rFonts w:ascii="楷体_GB2312" w:hAnsi="楷体" w:eastAsia="楷体_GB2312" w:cs="楷体"/>
          <w:shd w:val="clear" w:color="auto" w:fill="FFFFFF"/>
        </w:rPr>
        <w:t>：</w:t>
      </w:r>
      <w:r>
        <w:rPr>
          <w:rFonts w:ascii="仿宋_GB2312" w:hAnsi="Times New Roman" w:eastAsia="仿宋_GB2312" w:cs="仿宋_GB2312"/>
          <w:color w:val="353535"/>
          <w:sz w:val="32"/>
          <w:szCs w:val="32"/>
        </w:rPr>
        <w:t>指省本级财政当年拨付的资金。</w:t>
      </w:r>
    </w:p>
    <w:p>
      <w:pPr>
        <w:adjustRightInd w:val="0"/>
        <w:snapToGrid w:val="0"/>
        <w:spacing w:line="560" w:lineRule="exact"/>
        <w:ind w:firstLine="640" w:firstLineChars="200"/>
      </w:pPr>
      <w:r>
        <w:rPr>
          <w:rStyle w:val="8"/>
          <w:rFonts w:hint="eastAsia" w:ascii="楷体_GB2312" w:hAnsi="楷体" w:eastAsia="楷体_GB2312" w:cs="楷体"/>
          <w:b w:val="0"/>
          <w:sz w:val="32"/>
          <w:szCs w:val="32"/>
          <w:shd w:val="clear" w:color="auto" w:fill="FFFFFF"/>
        </w:rPr>
        <w:t>二、其他收入</w:t>
      </w:r>
      <w:r>
        <w:rPr>
          <w:rStyle w:val="8"/>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指除财政拨款收入、事业收入等以外的收入。主要是指非本级财政拨款收入、补助收入、存款利息收入等。</w:t>
      </w:r>
    </w:p>
    <w:p>
      <w:pPr>
        <w:adjustRightInd w:val="0"/>
        <w:snapToGrid w:val="0"/>
        <w:spacing w:line="560" w:lineRule="exact"/>
        <w:ind w:firstLine="640" w:firstLineChars="200"/>
      </w:pPr>
      <w:r>
        <w:rPr>
          <w:rStyle w:val="8"/>
          <w:rFonts w:hint="eastAsia" w:ascii="楷体_GB2312" w:hAnsi="楷体" w:eastAsia="楷体_GB2312" w:cs="楷体"/>
          <w:b w:val="0"/>
          <w:sz w:val="32"/>
          <w:szCs w:val="32"/>
          <w:shd w:val="clear" w:color="auto" w:fill="FFFFFF"/>
        </w:rPr>
        <w:t>三、上年结转和结余</w:t>
      </w:r>
      <w:r>
        <w:rPr>
          <w:rStyle w:val="8"/>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指以前年度尚未完成、结转到本年仍按原规定用途继续使用的资金，或项目已完成产生的结余资金。</w:t>
      </w:r>
    </w:p>
    <w:p>
      <w:pPr>
        <w:adjustRightInd w:val="0"/>
        <w:snapToGrid w:val="0"/>
        <w:spacing w:line="560" w:lineRule="exact"/>
        <w:ind w:firstLine="640" w:firstLineChars="200"/>
      </w:pPr>
      <w:r>
        <w:rPr>
          <w:rStyle w:val="8"/>
          <w:rFonts w:hint="eastAsia" w:ascii="楷体_GB2312" w:hAnsi="楷体" w:eastAsia="楷体_GB2312" w:cs="楷体"/>
          <w:b w:val="0"/>
          <w:sz w:val="32"/>
          <w:szCs w:val="32"/>
          <w:shd w:val="clear" w:color="auto" w:fill="FFFFFF"/>
        </w:rPr>
        <w:t>四、年末结转和结余</w:t>
      </w:r>
      <w:r>
        <w:rPr>
          <w:rStyle w:val="8"/>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指单位按有关规定结转到下年或以后年度继续使用的资金，或项目已完成产生的结余资金。</w:t>
      </w:r>
    </w:p>
    <w:p>
      <w:pPr>
        <w:adjustRightInd w:val="0"/>
        <w:snapToGrid w:val="0"/>
        <w:spacing w:line="560" w:lineRule="exact"/>
        <w:ind w:firstLine="640" w:firstLineChars="200"/>
      </w:pPr>
      <w:r>
        <w:rPr>
          <w:rStyle w:val="8"/>
          <w:rFonts w:hint="eastAsia" w:ascii="楷体_GB2312" w:hAnsi="楷体" w:eastAsia="楷体_GB2312" w:cs="楷体"/>
          <w:b w:val="0"/>
          <w:sz w:val="32"/>
          <w:szCs w:val="32"/>
          <w:shd w:val="clear" w:color="auto" w:fill="FFFFFF"/>
        </w:rPr>
        <w:t>五、公共安全支出（类）检察（款）</w:t>
      </w:r>
      <w:r>
        <w:rPr>
          <w:rStyle w:val="8"/>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指检察机关用于保障机构正常运行、开展检察业务工作的支出。</w:t>
      </w:r>
    </w:p>
    <w:p>
      <w:pPr>
        <w:adjustRightInd w:val="0"/>
        <w:snapToGrid w:val="0"/>
        <w:spacing w:line="560" w:lineRule="exact"/>
        <w:ind w:firstLine="640" w:firstLineChars="200"/>
      </w:pPr>
      <w:r>
        <w:rPr>
          <w:rStyle w:val="8"/>
          <w:rFonts w:hint="eastAsia" w:ascii="楷体_GB2312" w:hAnsi="楷体" w:eastAsia="楷体_GB2312" w:cs="楷体"/>
          <w:b w:val="0"/>
          <w:sz w:val="32"/>
          <w:szCs w:val="32"/>
          <w:shd w:val="clear" w:color="auto" w:fill="FFFFFF"/>
        </w:rPr>
        <w:t>六、教育支出（类）进修及培训（款）培训支出（项）：</w:t>
      </w:r>
      <w:r>
        <w:rPr>
          <w:rFonts w:ascii="仿宋_GB2312" w:hAnsi="Times New Roman" w:eastAsia="仿宋_GB2312" w:cs="仿宋_GB2312"/>
          <w:color w:val="353535"/>
          <w:sz w:val="32"/>
          <w:szCs w:val="32"/>
        </w:rPr>
        <w:t>指单位用于干警教育培训的支出。</w:t>
      </w:r>
    </w:p>
    <w:p>
      <w:pPr>
        <w:adjustRightInd w:val="0"/>
        <w:snapToGrid w:val="0"/>
        <w:spacing w:line="560" w:lineRule="exact"/>
        <w:ind w:firstLine="640" w:firstLineChars="200"/>
      </w:pPr>
      <w:r>
        <w:rPr>
          <w:rStyle w:val="8"/>
          <w:rFonts w:hint="eastAsia" w:ascii="楷体_GB2312" w:hAnsi="楷体" w:eastAsia="楷体_GB2312" w:cs="楷体"/>
          <w:b w:val="0"/>
          <w:sz w:val="32"/>
          <w:szCs w:val="32"/>
          <w:shd w:val="clear" w:color="auto" w:fill="FFFFFF"/>
        </w:rPr>
        <w:t>七、社会保障和就业支出（类）行政事业单位离退休（款）未归口管理的行政单位离退休（项）：</w:t>
      </w:r>
      <w:r>
        <w:rPr>
          <w:rFonts w:ascii="仿宋_GB2312" w:hAnsi="Times New Roman" w:eastAsia="仿宋_GB2312" w:cs="仿宋_GB2312"/>
          <w:color w:val="353535"/>
          <w:sz w:val="32"/>
          <w:szCs w:val="32"/>
        </w:rPr>
        <w:t>指单位用于未归口社保的离退休人员的工资性支出。</w:t>
      </w:r>
    </w:p>
    <w:p>
      <w:pPr>
        <w:adjustRightInd w:val="0"/>
        <w:snapToGrid w:val="0"/>
        <w:spacing w:line="560" w:lineRule="exact"/>
        <w:ind w:firstLine="640" w:firstLineChars="200"/>
      </w:pPr>
      <w:r>
        <w:rPr>
          <w:rStyle w:val="8"/>
          <w:rFonts w:hint="eastAsia" w:ascii="楷体_GB2312" w:hAnsi="楷体" w:eastAsia="楷体_GB2312" w:cs="楷体"/>
          <w:b w:val="0"/>
          <w:sz w:val="32"/>
          <w:szCs w:val="32"/>
          <w:shd w:val="clear" w:color="auto" w:fill="FFFFFF"/>
        </w:rPr>
        <w:t>八、住房保障支出（类）住房改革支出（款）：</w:t>
      </w:r>
      <w:r>
        <w:rPr>
          <w:rFonts w:ascii="仿宋_GB2312" w:hAnsi="Times New Roman" w:eastAsia="仿宋_GB2312" w:cs="仿宋_GB2312"/>
          <w:color w:val="353535"/>
          <w:sz w:val="32"/>
          <w:szCs w:val="32"/>
        </w:rPr>
        <w:t>指单位按照国家政策规定用于住房改革方面的支出。</w:t>
      </w:r>
    </w:p>
    <w:p>
      <w:pPr>
        <w:adjustRightInd w:val="0"/>
        <w:snapToGrid w:val="0"/>
        <w:spacing w:line="560" w:lineRule="exact"/>
        <w:ind w:firstLine="640" w:firstLineChars="200"/>
      </w:pPr>
      <w:r>
        <w:rPr>
          <w:rStyle w:val="8"/>
          <w:rFonts w:hint="eastAsia" w:ascii="楷体_GB2312" w:hAnsi="楷体" w:eastAsia="楷体_GB2312" w:cs="楷体"/>
          <w:b w:val="0"/>
          <w:sz w:val="32"/>
          <w:szCs w:val="32"/>
          <w:shd w:val="clear" w:color="auto" w:fill="FFFFFF"/>
        </w:rPr>
        <w:t>（一）住房公积金（项）</w:t>
      </w:r>
      <w:r>
        <w:rPr>
          <w:rStyle w:val="8"/>
          <w:rFonts w:ascii="楷体_GB2312" w:hAnsi="楷体" w:eastAsia="楷体_GB2312" w:cs="楷体"/>
          <w:b w:val="0"/>
          <w:sz w:val="32"/>
          <w:szCs w:val="32"/>
          <w:shd w:val="clear" w:color="auto" w:fill="FFFFFF"/>
        </w:rPr>
        <w:t>：</w:t>
      </w:r>
      <w:r>
        <w:rPr>
          <w:rFonts w:ascii="仿宋_GB2312" w:hAnsi="Times New Roman" w:eastAsia="仿宋_GB2312" w:cs="仿宋_GB2312"/>
          <w:color w:val="353535"/>
          <w:sz w:val="32"/>
          <w:szCs w:val="32"/>
        </w:rPr>
        <w:t>指按照国家统一规定，按规定比例为职工缴纳的住房公积金。</w:t>
      </w:r>
    </w:p>
    <w:p>
      <w:pPr>
        <w:adjustRightInd w:val="0"/>
        <w:snapToGrid w:val="0"/>
        <w:spacing w:line="560" w:lineRule="exact"/>
        <w:ind w:firstLine="640" w:firstLineChars="200"/>
      </w:pPr>
      <w:r>
        <w:rPr>
          <w:rStyle w:val="8"/>
          <w:rFonts w:ascii="楷体_GB2312" w:hAnsi="楷体" w:eastAsia="楷体_GB2312" w:cs="楷体"/>
          <w:b w:val="0"/>
          <w:sz w:val="32"/>
          <w:szCs w:val="32"/>
          <w:shd w:val="clear" w:color="auto" w:fill="FFFFFF"/>
        </w:rPr>
        <w:t>（二）</w:t>
      </w:r>
      <w:r>
        <w:rPr>
          <w:rStyle w:val="8"/>
          <w:rFonts w:hint="eastAsia" w:ascii="楷体_GB2312" w:hAnsi="楷体" w:eastAsia="楷体_GB2312" w:cs="楷体"/>
          <w:b w:val="0"/>
          <w:sz w:val="32"/>
          <w:szCs w:val="32"/>
          <w:shd w:val="clear" w:color="auto" w:fill="FFFFFF"/>
        </w:rPr>
        <w:t>购房补贴（项）：</w:t>
      </w:r>
      <w:r>
        <w:rPr>
          <w:rFonts w:ascii="仿宋_GB2312" w:hAnsi="Times New Roman" w:eastAsia="仿宋_GB2312" w:cs="仿宋_GB2312"/>
          <w:color w:val="353535"/>
          <w:sz w:val="32"/>
          <w:szCs w:val="32"/>
        </w:rPr>
        <w:t>指</w:t>
      </w:r>
      <w:r>
        <w:rPr>
          <w:rFonts w:ascii="Times New Roman" w:hAnsi="Times New Roman"/>
          <w:color w:val="353535"/>
          <w:sz w:val="32"/>
          <w:szCs w:val="32"/>
        </w:rPr>
        <w:t>1998</w:t>
      </w:r>
      <w:r>
        <w:rPr>
          <w:rFonts w:ascii="仿宋_GB2312" w:hAnsi="Times New Roman" w:eastAsia="仿宋_GB2312" w:cs="仿宋_GB2312"/>
          <w:color w:val="353535"/>
          <w:sz w:val="32"/>
          <w:szCs w:val="32"/>
        </w:rPr>
        <w:t>年住房分配货币化改革以后，按照国家房改政策规定，向无房职工、住房面积未达到规定标准的职工发放的住房补贴。</w:t>
      </w:r>
    </w:p>
    <w:p>
      <w:pPr>
        <w:adjustRightInd w:val="0"/>
        <w:snapToGrid w:val="0"/>
        <w:spacing w:line="560" w:lineRule="exact"/>
        <w:ind w:firstLine="640" w:firstLineChars="200"/>
      </w:pPr>
      <w:r>
        <w:rPr>
          <w:rStyle w:val="8"/>
          <w:rFonts w:hint="eastAsia" w:ascii="楷体_GB2312" w:hAnsi="楷体" w:eastAsia="楷体_GB2312" w:cs="楷体"/>
          <w:b w:val="0"/>
          <w:sz w:val="32"/>
          <w:szCs w:val="32"/>
          <w:shd w:val="clear" w:color="auto" w:fill="FFFFFF"/>
        </w:rPr>
        <w:t>九、基本支出</w:t>
      </w:r>
      <w:r>
        <w:rPr>
          <w:rStyle w:val="8"/>
          <w:rFonts w:hint="eastAsia" w:ascii="楷体_GB2312" w:hAnsi="楷体" w:eastAsia="楷体_GB2312" w:cs="楷体"/>
          <w:shd w:val="clear" w:color="auto" w:fill="FFFFFF"/>
        </w:rPr>
        <w:t>：</w:t>
      </w:r>
      <w:r>
        <w:rPr>
          <w:rFonts w:ascii="仿宋_GB2312" w:hAnsi="Times New Roman" w:eastAsia="仿宋_GB2312" w:cs="仿宋_GB2312"/>
          <w:color w:val="353535"/>
          <w:sz w:val="32"/>
          <w:szCs w:val="32"/>
        </w:rPr>
        <w:t>指为保障机构正常运转、完成日常工作任务而发生的人员支出和公用支出。</w:t>
      </w:r>
    </w:p>
    <w:p>
      <w:pPr>
        <w:adjustRightInd w:val="0"/>
        <w:snapToGrid w:val="0"/>
        <w:spacing w:line="560" w:lineRule="exact"/>
        <w:ind w:firstLine="640" w:firstLineChars="200"/>
      </w:pPr>
      <w:r>
        <w:rPr>
          <w:rStyle w:val="8"/>
          <w:rFonts w:hint="eastAsia" w:ascii="楷体_GB2312" w:hAnsi="楷体" w:eastAsia="楷体_GB2312" w:cs="楷体"/>
          <w:b w:val="0"/>
          <w:sz w:val="32"/>
          <w:szCs w:val="32"/>
          <w:shd w:val="clear" w:color="auto" w:fill="FFFFFF"/>
        </w:rPr>
        <w:t>十、项目支出：</w:t>
      </w:r>
      <w:r>
        <w:rPr>
          <w:rFonts w:ascii="仿宋_GB2312" w:hAnsi="Times New Roman" w:eastAsia="仿宋_GB2312" w:cs="仿宋_GB2312"/>
          <w:color w:val="353535"/>
          <w:sz w:val="32"/>
          <w:szCs w:val="32"/>
        </w:rPr>
        <w:t>指在基本支出以外为完成特定任务和事业发展目标所发生的支出。</w:t>
      </w:r>
    </w:p>
    <w:p>
      <w:pPr>
        <w:adjustRightInd w:val="0"/>
        <w:snapToGrid w:val="0"/>
        <w:spacing w:line="560" w:lineRule="exact"/>
        <w:ind w:firstLine="640" w:firstLineChars="200"/>
      </w:pPr>
      <w:r>
        <w:rPr>
          <w:rStyle w:val="8"/>
          <w:rFonts w:hint="eastAsia" w:ascii="楷体_GB2312" w:hAnsi="楷体" w:eastAsia="楷体_GB2312" w:cs="楷体"/>
          <w:b w:val="0"/>
          <w:sz w:val="32"/>
          <w:szCs w:val="32"/>
          <w:shd w:val="clear" w:color="auto" w:fill="FFFFFF"/>
        </w:rPr>
        <w:t>十一、“ 三公” 经费财政拨款支出：</w:t>
      </w:r>
      <w:r>
        <w:rPr>
          <w:rFonts w:ascii="仿宋_GB2312" w:hAnsi="Times New Roman" w:eastAsia="仿宋_GB2312" w:cs="仿宋_GB2312"/>
          <w:color w:val="353535"/>
          <w:sz w:val="32"/>
          <w:szCs w:val="32"/>
        </w:rPr>
        <w:t>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种公务接待（含外宾接待）支出。</w:t>
      </w:r>
    </w:p>
    <w:p>
      <w:pPr>
        <w:adjustRightInd w:val="0"/>
        <w:snapToGrid w:val="0"/>
        <w:spacing w:line="560" w:lineRule="exact"/>
        <w:ind w:firstLine="640" w:firstLineChars="200"/>
        <w:rPr>
          <w:rFonts w:ascii="仿宋_GB2312" w:hAnsi="Times New Roman" w:eastAsia="仿宋_GB2312" w:cs="仿宋_GB2312"/>
          <w:color w:val="353535"/>
          <w:sz w:val="32"/>
          <w:szCs w:val="32"/>
        </w:rPr>
      </w:pPr>
      <w:r>
        <w:rPr>
          <w:rStyle w:val="8"/>
          <w:rFonts w:hint="eastAsia" w:ascii="楷体_GB2312" w:hAnsi="楷体" w:eastAsia="楷体_GB2312" w:cs="楷体"/>
          <w:b w:val="0"/>
          <w:sz w:val="32"/>
          <w:szCs w:val="32"/>
          <w:shd w:val="clear" w:color="auto" w:fill="FFFFFF"/>
        </w:rPr>
        <w:t>十二、机关运行经费</w:t>
      </w:r>
      <w:r>
        <w:rPr>
          <w:rFonts w:hint="eastAsia" w:ascii="楷体_GB2312" w:eastAsia="楷体_GB2312" w:cs="黑体"/>
          <w:b/>
          <w:color w:val="353535"/>
          <w:sz w:val="32"/>
          <w:szCs w:val="32"/>
        </w:rPr>
        <w:t>：</w:t>
      </w:r>
      <w:r>
        <w:rPr>
          <w:rFonts w:ascii="仿宋_GB2312" w:hAnsi="Times New Roman" w:eastAsia="仿宋_GB2312" w:cs="仿宋_GB2312"/>
          <w:color w:val="353535"/>
          <w:sz w:val="32"/>
          <w:szCs w:val="32"/>
        </w:rPr>
        <w:t>为保障单位运行用于购买货物和服务的各项资金，包括办公及印刷费、邮电费、差旅费、会议费、福利费、日常维修费、专用材料及一般设备购置费、办公用房水电费、办公用房取暖费、办公用房物业管理费、公务用车运行维护费用及其他费用。</w:t>
      </w:r>
    </w:p>
    <w:p>
      <w:pPr>
        <w:pStyle w:val="11"/>
        <w:jc w:val="center"/>
        <w:rPr>
          <w:rFonts w:asciiTheme="minorEastAsia" w:hAnsiTheme="minorEastAsia"/>
          <w:sz w:val="32"/>
          <w:szCs w:val="32"/>
        </w:rPr>
      </w:pPr>
      <w:r>
        <w:rPr>
          <w:rFonts w:asciiTheme="minorEastAsia" w:hAnsiTheme="minorEastAsia"/>
          <w:sz w:val="32"/>
          <w:szCs w:val="32"/>
        </w:rPr>
        <w:t>………</w:t>
      </w: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jc w:val="center"/>
        <w:rPr>
          <w:sz w:val="72"/>
          <w:szCs w:val="72"/>
        </w:rPr>
      </w:pPr>
    </w:p>
    <w:p>
      <w:pPr>
        <w:pStyle w:val="11"/>
        <w:rPr>
          <w:sz w:val="72"/>
          <w:szCs w:val="72"/>
        </w:rPr>
      </w:pPr>
    </w:p>
    <w:p>
      <w:pPr>
        <w:pStyle w:val="11"/>
        <w:jc w:val="center"/>
        <w:rPr>
          <w:sz w:val="72"/>
          <w:szCs w:val="72"/>
        </w:rPr>
      </w:pPr>
      <w:r>
        <w:rPr>
          <w:rStyle w:val="8"/>
          <w:rFonts w:hint="eastAsia" w:ascii="方正小标宋_GBK" w:hAnsi="黑体" w:eastAsia="方正小标宋_GBK"/>
          <w:color w:val="auto"/>
          <w:kern w:val="2"/>
          <w:sz w:val="44"/>
          <w:szCs w:val="44"/>
          <w:shd w:val="clear" w:color="auto" w:fill="FFFFFF"/>
        </w:rPr>
        <w:t>第五部分 附件</w:t>
      </w:r>
    </w:p>
    <w:p>
      <w:pPr>
        <w:pStyle w:val="11"/>
        <w:jc w:val="center"/>
        <w:rPr>
          <w:rFonts w:asciiTheme="majorEastAsia" w:hAnsiTheme="majorEastAsia" w:eastAsiaTheme="majorEastAsia"/>
          <w:sz w:val="30"/>
          <w:szCs w:val="30"/>
        </w:rPr>
      </w:pPr>
    </w:p>
    <w:p>
      <w:pPr>
        <w:pStyle w:val="11"/>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2021年度部门整体支出绩效评价报告</w:t>
      </w:r>
    </w:p>
    <w:p>
      <w:pPr>
        <w:pStyle w:val="11"/>
        <w:jc w:val="center"/>
        <w:rPr>
          <w:rFonts w:asciiTheme="majorEastAsia" w:hAnsiTheme="majorEastAsia" w:eastAsiaTheme="majorEastAsia"/>
          <w:sz w:val="30"/>
          <w:szCs w:val="30"/>
        </w:rPr>
      </w:pPr>
      <w:r>
        <w:rPr>
          <w:rFonts w:hint="eastAsia" w:asciiTheme="majorEastAsia" w:hAnsiTheme="majorEastAsia" w:eastAsiaTheme="majorEastAsia"/>
          <w:sz w:val="30"/>
          <w:szCs w:val="30"/>
        </w:rPr>
        <w:t>（https://www.hn.jcy.gov.cn/xwfb/czxx/qtczxxgk/202206/1537346769879302144.html）</w:t>
      </w:r>
    </w:p>
    <w:p>
      <w:pPr>
        <w:pStyle w:val="11"/>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altName w:val="汉仪中宋简"/>
    <w:panose1 w:val="02010600040101010101"/>
    <w:charset w:val="86"/>
    <w:family w:val="auto"/>
    <w:pitch w:val="default"/>
    <w:sig w:usb0="00000000" w:usb1="00000000" w:usb2="00000010" w:usb3="00000000" w:csb0="0004009F" w:csb1="00000000"/>
  </w:font>
  <w:font w:name="Arial">
    <w:altName w:val="Times New Roman"/>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3D9546"/>
    <w:multiLevelType w:val="singleLevel"/>
    <w:tmpl w:val="F33D9546"/>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xMjQ2MjdkMGJhZmNlNTU3NjE5Zjc3ODM0MDI3YTEifQ=="/>
  </w:docVars>
  <w:rsids>
    <w:rsidRoot w:val="004506F9"/>
    <w:rsid w:val="00000B12"/>
    <w:rsid w:val="0002229B"/>
    <w:rsid w:val="000273BD"/>
    <w:rsid w:val="000415B7"/>
    <w:rsid w:val="00041E3F"/>
    <w:rsid w:val="00055DAA"/>
    <w:rsid w:val="00061F7B"/>
    <w:rsid w:val="000658A3"/>
    <w:rsid w:val="00074155"/>
    <w:rsid w:val="00080B28"/>
    <w:rsid w:val="0008669E"/>
    <w:rsid w:val="000873EF"/>
    <w:rsid w:val="000A3F69"/>
    <w:rsid w:val="000D6897"/>
    <w:rsid w:val="00103957"/>
    <w:rsid w:val="00124A1F"/>
    <w:rsid w:val="00152C6D"/>
    <w:rsid w:val="00162D39"/>
    <w:rsid w:val="001678BD"/>
    <w:rsid w:val="00182373"/>
    <w:rsid w:val="001A67DB"/>
    <w:rsid w:val="001C3C29"/>
    <w:rsid w:val="001D51E5"/>
    <w:rsid w:val="001E080D"/>
    <w:rsid w:val="001E53D0"/>
    <w:rsid w:val="001F0C3B"/>
    <w:rsid w:val="00202C14"/>
    <w:rsid w:val="00202C82"/>
    <w:rsid w:val="00214427"/>
    <w:rsid w:val="0022273B"/>
    <w:rsid w:val="00226CB7"/>
    <w:rsid w:val="00232FF5"/>
    <w:rsid w:val="00264552"/>
    <w:rsid w:val="00264EF9"/>
    <w:rsid w:val="00265724"/>
    <w:rsid w:val="0027426B"/>
    <w:rsid w:val="002D3C76"/>
    <w:rsid w:val="002E0A30"/>
    <w:rsid w:val="003106FC"/>
    <w:rsid w:val="003130C4"/>
    <w:rsid w:val="003167B6"/>
    <w:rsid w:val="00316C4B"/>
    <w:rsid w:val="00317480"/>
    <w:rsid w:val="0032192B"/>
    <w:rsid w:val="003479BD"/>
    <w:rsid w:val="003640BC"/>
    <w:rsid w:val="0037197D"/>
    <w:rsid w:val="003768D5"/>
    <w:rsid w:val="003C4197"/>
    <w:rsid w:val="003C47E6"/>
    <w:rsid w:val="003C4FC2"/>
    <w:rsid w:val="003E2331"/>
    <w:rsid w:val="0040334E"/>
    <w:rsid w:val="00416E61"/>
    <w:rsid w:val="0042790C"/>
    <w:rsid w:val="00440ABE"/>
    <w:rsid w:val="004506F9"/>
    <w:rsid w:val="004717A2"/>
    <w:rsid w:val="00473DF3"/>
    <w:rsid w:val="00487911"/>
    <w:rsid w:val="00491741"/>
    <w:rsid w:val="004B0CEE"/>
    <w:rsid w:val="00500E5F"/>
    <w:rsid w:val="005122EF"/>
    <w:rsid w:val="0051441A"/>
    <w:rsid w:val="00517C33"/>
    <w:rsid w:val="00517D5F"/>
    <w:rsid w:val="00521AF2"/>
    <w:rsid w:val="00523644"/>
    <w:rsid w:val="0054069E"/>
    <w:rsid w:val="00544866"/>
    <w:rsid w:val="005767CC"/>
    <w:rsid w:val="00590D9F"/>
    <w:rsid w:val="00595D26"/>
    <w:rsid w:val="005A74E6"/>
    <w:rsid w:val="005B404E"/>
    <w:rsid w:val="005B5A5B"/>
    <w:rsid w:val="005D4D55"/>
    <w:rsid w:val="005E2CFB"/>
    <w:rsid w:val="005F2103"/>
    <w:rsid w:val="005F3D1C"/>
    <w:rsid w:val="0062378F"/>
    <w:rsid w:val="00641842"/>
    <w:rsid w:val="00651EEC"/>
    <w:rsid w:val="00686673"/>
    <w:rsid w:val="00691E8C"/>
    <w:rsid w:val="006A22C4"/>
    <w:rsid w:val="006A348B"/>
    <w:rsid w:val="006A351B"/>
    <w:rsid w:val="006B0422"/>
    <w:rsid w:val="006C1B53"/>
    <w:rsid w:val="006D7730"/>
    <w:rsid w:val="006E5284"/>
    <w:rsid w:val="006F17A3"/>
    <w:rsid w:val="006F3EB5"/>
    <w:rsid w:val="00702E34"/>
    <w:rsid w:val="00704395"/>
    <w:rsid w:val="00710FE7"/>
    <w:rsid w:val="00713603"/>
    <w:rsid w:val="00717621"/>
    <w:rsid w:val="00720FF1"/>
    <w:rsid w:val="00727A53"/>
    <w:rsid w:val="00741EAD"/>
    <w:rsid w:val="00766FCD"/>
    <w:rsid w:val="00787B42"/>
    <w:rsid w:val="007C4539"/>
    <w:rsid w:val="007F3657"/>
    <w:rsid w:val="00812ED5"/>
    <w:rsid w:val="00817BDE"/>
    <w:rsid w:val="008277D9"/>
    <w:rsid w:val="0084478C"/>
    <w:rsid w:val="00862DC6"/>
    <w:rsid w:val="0086638C"/>
    <w:rsid w:val="008A3E8D"/>
    <w:rsid w:val="009237C4"/>
    <w:rsid w:val="00944C48"/>
    <w:rsid w:val="00950252"/>
    <w:rsid w:val="00967F5D"/>
    <w:rsid w:val="00971813"/>
    <w:rsid w:val="00991791"/>
    <w:rsid w:val="009A0F95"/>
    <w:rsid w:val="009B3ADF"/>
    <w:rsid w:val="009C3B52"/>
    <w:rsid w:val="009E6817"/>
    <w:rsid w:val="009E6E9A"/>
    <w:rsid w:val="00A01D2B"/>
    <w:rsid w:val="00A1376A"/>
    <w:rsid w:val="00A42218"/>
    <w:rsid w:val="00A66BC8"/>
    <w:rsid w:val="00A70249"/>
    <w:rsid w:val="00A70B02"/>
    <w:rsid w:val="00A71D9F"/>
    <w:rsid w:val="00A92E9F"/>
    <w:rsid w:val="00AC32B7"/>
    <w:rsid w:val="00B33BEA"/>
    <w:rsid w:val="00B47EEE"/>
    <w:rsid w:val="00B57C9F"/>
    <w:rsid w:val="00B63572"/>
    <w:rsid w:val="00B737C4"/>
    <w:rsid w:val="00B845B3"/>
    <w:rsid w:val="00B85D8B"/>
    <w:rsid w:val="00BB4A40"/>
    <w:rsid w:val="00BD6C3E"/>
    <w:rsid w:val="00BE3674"/>
    <w:rsid w:val="00C02384"/>
    <w:rsid w:val="00C10681"/>
    <w:rsid w:val="00C3049A"/>
    <w:rsid w:val="00C31B1E"/>
    <w:rsid w:val="00C63C8C"/>
    <w:rsid w:val="00C77645"/>
    <w:rsid w:val="00CE04C3"/>
    <w:rsid w:val="00CE76A0"/>
    <w:rsid w:val="00D148C6"/>
    <w:rsid w:val="00D17A8A"/>
    <w:rsid w:val="00D415BA"/>
    <w:rsid w:val="00D63780"/>
    <w:rsid w:val="00D644EE"/>
    <w:rsid w:val="00D6548F"/>
    <w:rsid w:val="00D75489"/>
    <w:rsid w:val="00DA3281"/>
    <w:rsid w:val="00DD06FF"/>
    <w:rsid w:val="00DD5FE9"/>
    <w:rsid w:val="00E00C7A"/>
    <w:rsid w:val="00E1317F"/>
    <w:rsid w:val="00E209CF"/>
    <w:rsid w:val="00E37D6C"/>
    <w:rsid w:val="00E5535E"/>
    <w:rsid w:val="00E55B68"/>
    <w:rsid w:val="00E67BE6"/>
    <w:rsid w:val="00E8683C"/>
    <w:rsid w:val="00EA2B72"/>
    <w:rsid w:val="00F157EB"/>
    <w:rsid w:val="00F74360"/>
    <w:rsid w:val="00FB462F"/>
    <w:rsid w:val="00FB4969"/>
    <w:rsid w:val="00FE16FA"/>
    <w:rsid w:val="00FE328A"/>
    <w:rsid w:val="00FE6269"/>
    <w:rsid w:val="00FF5CD6"/>
    <w:rsid w:val="12CF0C4C"/>
    <w:rsid w:val="187102EC"/>
    <w:rsid w:val="1B5D17E7"/>
    <w:rsid w:val="1FE691D0"/>
    <w:rsid w:val="20175654"/>
    <w:rsid w:val="232A5DDC"/>
    <w:rsid w:val="2BA75CE6"/>
    <w:rsid w:val="418F02CB"/>
    <w:rsid w:val="4419206F"/>
    <w:rsid w:val="44A37C3C"/>
    <w:rsid w:val="4A3C2235"/>
    <w:rsid w:val="4B2C0717"/>
    <w:rsid w:val="4FDD6C2D"/>
    <w:rsid w:val="509A4DD8"/>
    <w:rsid w:val="58DC640B"/>
    <w:rsid w:val="5EF79BD8"/>
    <w:rsid w:val="6AA6746B"/>
    <w:rsid w:val="6DCB20B9"/>
    <w:rsid w:val="77D43FBD"/>
    <w:rsid w:val="787B3A14"/>
    <w:rsid w:val="7D3E3CE3"/>
    <w:rsid w:val="9F7D1FF3"/>
    <w:rsid w:val="ACFFD144"/>
    <w:rsid w:val="EB3F66E7"/>
    <w:rsid w:val="FAEBFCD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Times New Roman"/>
      <w:kern w:val="0"/>
      <w:sz w:val="24"/>
      <w:szCs w:val="24"/>
    </w:rPr>
  </w:style>
  <w:style w:type="character" w:styleId="8">
    <w:name w:val="Strong"/>
    <w:basedOn w:val="7"/>
    <w:qFormat/>
    <w:uiPriority w:val="22"/>
    <w:rPr>
      <w:b/>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customStyle="1" w:styleId="11">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2">
    <w:name w:val="List Paragraph"/>
    <w:basedOn w:val="1"/>
    <w:qFormat/>
    <w:uiPriority w:val="34"/>
    <w:pPr>
      <w:ind w:firstLine="420" w:firstLineChars="200"/>
    </w:pPr>
  </w:style>
  <w:style w:type="character" w:customStyle="1" w:styleId="13">
    <w:name w:val="批注框文本 Char"/>
    <w:basedOn w:val="7"/>
    <w:link w:val="2"/>
    <w:semiHidden/>
    <w:qFormat/>
    <w:uiPriority w:val="99"/>
    <w:rPr>
      <w:sz w:val="18"/>
      <w:szCs w:val="18"/>
    </w:rPr>
  </w:style>
  <w:style w:type="paragraph" w:customStyle="1" w:styleId="14">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36</Pages>
  <Words>3053</Words>
  <Characters>17403</Characters>
  <Lines>145</Lines>
  <Paragraphs>40</Paragraphs>
  <TotalTime>43</TotalTime>
  <ScaleCrop>false</ScaleCrop>
  <LinksUpToDate>false</LinksUpToDate>
  <CharactersWithSpaces>20416</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2023-09-27T16:49:00Z</dcterms:created>
  <dc:creator>李航 null</dc:creator>
  <cp:lastModifiedBy>greatwall</cp:lastModifiedBy>
  <cp:lastPrinted>2022-11-04T10:36:00Z</cp:lastPrinted>
  <dcterms:modified xsi:type="dcterms:W3CDTF">2023-10-07T16:30:58Z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1410BB47F249426A8666F6F9E3EB4687</vt:lpwstr>
  </property>
</Properties>
</file>